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DAC66F" w14:textId="79BF8A21" w:rsidR="008854CD" w:rsidRDefault="00D051B4" w:rsidP="000751EE">
      <w:pPr>
        <w:jc w:val="both"/>
        <w:rPr>
          <w:b/>
          <w:bCs/>
          <w:sz w:val="24"/>
          <w:szCs w:val="24"/>
          <w:lang w:val="en-US"/>
        </w:rPr>
      </w:pPr>
      <w:r w:rsidRPr="003119A6">
        <w:rPr>
          <w:b/>
          <w:bCs/>
          <w:sz w:val="24"/>
          <w:szCs w:val="24"/>
          <w:lang w:val="en-US"/>
        </w:rPr>
        <w:t>The Drinkaware Trust response to</w:t>
      </w:r>
      <w:r w:rsidR="003119A6" w:rsidRPr="003119A6">
        <w:rPr>
          <w:b/>
          <w:bCs/>
          <w:sz w:val="24"/>
          <w:szCs w:val="24"/>
          <w:lang w:val="en-US"/>
        </w:rPr>
        <w:t xml:space="preserve"> the Committee of Advertising Practice and Broadcast Committee of Advertising Practice </w:t>
      </w:r>
      <w:hyperlink r:id="rId11" w:history="1">
        <w:r w:rsidR="003119A6" w:rsidRPr="006D4F06">
          <w:rPr>
            <w:rStyle w:val="Hyperlink"/>
            <w:b/>
            <w:bCs/>
            <w:sz w:val="24"/>
            <w:szCs w:val="24"/>
            <w:lang w:val="en-US"/>
          </w:rPr>
          <w:t>consultation</w:t>
        </w:r>
      </w:hyperlink>
      <w:r w:rsidR="003119A6" w:rsidRPr="003119A6">
        <w:rPr>
          <w:b/>
          <w:bCs/>
          <w:sz w:val="24"/>
          <w:szCs w:val="24"/>
          <w:lang w:val="en-US"/>
        </w:rPr>
        <w:t xml:space="preserve"> on amending the rule limiting marketing claims for low alcohol products</w:t>
      </w:r>
    </w:p>
    <w:p w14:paraId="44230CD9" w14:textId="4C3BF1D6" w:rsidR="006D4F06" w:rsidRPr="006D4F06" w:rsidRDefault="006D4F06" w:rsidP="000751EE">
      <w:pPr>
        <w:jc w:val="both"/>
        <w:rPr>
          <w:sz w:val="24"/>
          <w:szCs w:val="24"/>
          <w:lang w:val="en-US"/>
        </w:rPr>
      </w:pPr>
      <w:r w:rsidRPr="006D4F06">
        <w:rPr>
          <w:sz w:val="24"/>
          <w:szCs w:val="24"/>
          <w:lang w:val="en-US"/>
        </w:rPr>
        <w:t>15 April 2021</w:t>
      </w:r>
    </w:p>
    <w:p w14:paraId="32B98552" w14:textId="5FF4B83B" w:rsidR="006D4F06" w:rsidRPr="001872B6" w:rsidRDefault="006D4F06" w:rsidP="000751EE">
      <w:pPr>
        <w:jc w:val="both"/>
        <w:rPr>
          <w:sz w:val="24"/>
          <w:szCs w:val="24"/>
          <w:lang w:val="en-US"/>
        </w:rPr>
      </w:pPr>
      <w:r w:rsidRPr="001872B6">
        <w:rPr>
          <w:sz w:val="24"/>
          <w:szCs w:val="24"/>
          <w:lang w:val="en-US"/>
        </w:rPr>
        <w:t xml:space="preserve">Contact: Lizzie Worth, Head of Public Affairs; </w:t>
      </w:r>
      <w:hyperlink r:id="rId12" w:history="1">
        <w:r w:rsidRPr="001872B6">
          <w:rPr>
            <w:rStyle w:val="Hyperlink"/>
            <w:sz w:val="24"/>
            <w:szCs w:val="24"/>
            <w:lang w:val="en-US"/>
          </w:rPr>
          <w:t>lworth@drinkaware.co.uk</w:t>
        </w:r>
      </w:hyperlink>
      <w:r w:rsidRPr="001872B6">
        <w:rPr>
          <w:sz w:val="24"/>
          <w:szCs w:val="24"/>
          <w:lang w:val="en-US"/>
        </w:rPr>
        <w:t xml:space="preserve"> </w:t>
      </w:r>
    </w:p>
    <w:p w14:paraId="4A4C90FD" w14:textId="489684C7" w:rsidR="00BE1D83" w:rsidRPr="001872B6" w:rsidRDefault="00BE1D83" w:rsidP="000751EE">
      <w:pPr>
        <w:jc w:val="both"/>
        <w:rPr>
          <w:sz w:val="24"/>
          <w:szCs w:val="24"/>
          <w:lang w:val="en-US"/>
        </w:rPr>
      </w:pPr>
      <w:r w:rsidRPr="001872B6">
        <w:rPr>
          <w:sz w:val="24"/>
          <w:szCs w:val="24"/>
          <w:lang w:val="en-US"/>
        </w:rPr>
        <w:t xml:space="preserve">Submit to: </w:t>
      </w:r>
      <w:hyperlink r:id="rId13" w:history="1">
        <w:r w:rsidR="000751EE" w:rsidRPr="001872B6">
          <w:rPr>
            <w:rStyle w:val="Hyperlink"/>
            <w:sz w:val="24"/>
            <w:szCs w:val="24"/>
            <w:lang w:val="en-US"/>
          </w:rPr>
          <w:t>AdPolicy@cap.org.uk</w:t>
        </w:r>
      </w:hyperlink>
      <w:r w:rsidR="000751EE" w:rsidRPr="001872B6">
        <w:rPr>
          <w:sz w:val="24"/>
          <w:szCs w:val="24"/>
          <w:lang w:val="en-US"/>
        </w:rPr>
        <w:t xml:space="preserve"> </w:t>
      </w:r>
    </w:p>
    <w:p w14:paraId="09F3B421" w14:textId="77777777" w:rsidR="00866634" w:rsidRPr="001872B6" w:rsidRDefault="00866634" w:rsidP="000751EE">
      <w:pPr>
        <w:jc w:val="both"/>
        <w:rPr>
          <w:b/>
          <w:bCs/>
        </w:rPr>
      </w:pPr>
      <w:r w:rsidRPr="001872B6">
        <w:rPr>
          <w:b/>
          <w:bCs/>
        </w:rPr>
        <w:t xml:space="preserve">Question 1: </w:t>
      </w:r>
    </w:p>
    <w:p w14:paraId="3AF2F205" w14:textId="655211C7" w:rsidR="006E52F9" w:rsidRPr="001872B6" w:rsidRDefault="00866634" w:rsidP="000751EE">
      <w:pPr>
        <w:jc w:val="both"/>
        <w:rPr>
          <w:b/>
          <w:bCs/>
        </w:rPr>
      </w:pPr>
      <w:r w:rsidRPr="001872B6">
        <w:rPr>
          <w:b/>
          <w:bCs/>
        </w:rPr>
        <w:t>Do you agree with CAP and BCAP’s proposed new rule to replace CAP rule 18.9 and BCAP rule 19.10? Please set out your arguments for supporting or disagreeing with the proposal.</w:t>
      </w:r>
    </w:p>
    <w:p w14:paraId="55FD54D8" w14:textId="77777777" w:rsidR="00353C1E" w:rsidRPr="001872B6" w:rsidRDefault="00353C1E" w:rsidP="000751EE">
      <w:pPr>
        <w:spacing w:after="120"/>
        <w:jc w:val="both"/>
        <w:rPr>
          <w:rFonts w:asciiTheme="majorHAnsi" w:hAnsiTheme="majorHAnsi" w:cstheme="majorHAnsi"/>
        </w:rPr>
      </w:pPr>
      <w:r w:rsidRPr="001872B6">
        <w:rPr>
          <w:rFonts w:asciiTheme="majorHAnsi" w:hAnsiTheme="majorHAnsi" w:cstheme="majorHAnsi"/>
        </w:rPr>
        <w:t>The Drinkaware Trust is a registered charity with the mission to reduce alcohol harm and provide alcohol education.</w:t>
      </w:r>
    </w:p>
    <w:p w14:paraId="72ACBE67" w14:textId="77777777" w:rsidR="00353C1E" w:rsidRPr="001872B6" w:rsidRDefault="00353C1E" w:rsidP="000751EE">
      <w:pPr>
        <w:widowControl w:val="0"/>
        <w:pBdr>
          <w:top w:val="nil"/>
          <w:left w:val="nil"/>
          <w:bottom w:val="nil"/>
          <w:right w:val="nil"/>
          <w:between w:val="nil"/>
        </w:pBdr>
        <w:jc w:val="both"/>
        <w:rPr>
          <w:rFonts w:asciiTheme="majorHAnsi" w:hAnsiTheme="majorHAnsi" w:cstheme="majorHAnsi"/>
        </w:rPr>
      </w:pPr>
      <w:r w:rsidRPr="001872B6">
        <w:rPr>
          <w:rFonts w:asciiTheme="majorHAnsi" w:hAnsiTheme="majorHAnsi" w:cstheme="majorHAnsi"/>
        </w:rPr>
        <w:t xml:space="preserve">Drinkaware’s response is anchored in its remit of reducing alcohol harm by encouraging positive changes in drinking behaviours. Drinkaware aims to achieve this through public education concerning the facts and health implications of alcohol. The following response draws upon the charity’s insight and evidence of attitudes to alcohol and of drinking behaviours, with the objective of considering how the change in CAP rule might more effectively contribute to protecting public health and reducing alcohol harm. </w:t>
      </w:r>
    </w:p>
    <w:p w14:paraId="157F315B" w14:textId="3E4BC506" w:rsidR="00197B1B" w:rsidRPr="001872B6" w:rsidRDefault="00197B1B" w:rsidP="000751EE">
      <w:pPr>
        <w:pStyle w:val="NormalWeb"/>
        <w:jc w:val="both"/>
        <w:rPr>
          <w:rFonts w:asciiTheme="majorHAnsi" w:hAnsiTheme="majorHAnsi" w:cstheme="majorHAnsi"/>
          <w:sz w:val="22"/>
          <w:szCs w:val="22"/>
        </w:rPr>
      </w:pPr>
      <w:r w:rsidRPr="001872B6">
        <w:rPr>
          <w:rFonts w:asciiTheme="majorHAnsi" w:hAnsiTheme="majorHAnsi" w:cstheme="majorHAnsi"/>
          <w:sz w:val="22"/>
          <w:szCs w:val="22"/>
        </w:rPr>
        <w:t xml:space="preserve">We therefore support the proposal in the regulations for advertising lower alcohol products, to allow for lower strength to be highlighted as a choice for the consumer as a substitution for higher strength alternatives. </w:t>
      </w:r>
      <w:r w:rsidRPr="001872B6">
        <w:rPr>
          <w:rStyle w:val="cf01"/>
          <w:rFonts w:asciiTheme="majorHAnsi" w:hAnsiTheme="majorHAnsi" w:cstheme="majorHAnsi"/>
          <w:sz w:val="22"/>
          <w:szCs w:val="22"/>
        </w:rPr>
        <w:t xml:space="preserve">Drinkaware’s desire is for lower strength drinks to be promoted as an alternative to higher strength drinks, </w:t>
      </w:r>
      <w:proofErr w:type="gramStart"/>
      <w:r w:rsidRPr="001872B6">
        <w:rPr>
          <w:rStyle w:val="cf01"/>
          <w:rFonts w:asciiTheme="majorHAnsi" w:hAnsiTheme="majorHAnsi" w:cstheme="majorHAnsi"/>
          <w:sz w:val="22"/>
          <w:szCs w:val="22"/>
        </w:rPr>
        <w:t>in order to</w:t>
      </w:r>
      <w:proofErr w:type="gramEnd"/>
      <w:r w:rsidRPr="001872B6">
        <w:rPr>
          <w:rStyle w:val="cf01"/>
          <w:rFonts w:asciiTheme="majorHAnsi" w:hAnsiTheme="majorHAnsi" w:cstheme="majorHAnsi"/>
          <w:sz w:val="22"/>
          <w:szCs w:val="22"/>
        </w:rPr>
        <w:t xml:space="preserve"> reduce harm from alcohol. </w:t>
      </w:r>
      <w:r w:rsidRPr="001872B6">
        <w:rPr>
          <w:rFonts w:asciiTheme="majorHAnsi" w:hAnsiTheme="majorHAnsi" w:cstheme="majorHAnsi"/>
          <w:sz w:val="22"/>
          <w:szCs w:val="22"/>
        </w:rPr>
        <w:t>There is some evidence that that lower strength products can be a potential moderation technique for higher-risk drinkers</w:t>
      </w:r>
      <w:r w:rsidR="00BE40FC" w:rsidRPr="001872B6">
        <w:rPr>
          <w:rFonts w:asciiTheme="majorHAnsi" w:hAnsiTheme="majorHAnsi" w:cstheme="majorHAnsi"/>
          <w:sz w:val="22"/>
          <w:szCs w:val="22"/>
        </w:rPr>
        <w:t>,</w:t>
      </w:r>
      <w:r w:rsidRPr="001872B6">
        <w:rPr>
          <w:rFonts w:asciiTheme="majorHAnsi" w:hAnsiTheme="majorHAnsi" w:cstheme="majorHAnsi"/>
          <w:sz w:val="22"/>
          <w:szCs w:val="22"/>
        </w:rPr>
        <w:t xml:space="preserve"> if they are consumed as a substitution for a higher strength alternative, rather than in addition, but there is a need for robust academic research in this area. Drinkaware would encourage an independent pilot which monitors consumers’ reaction and understanding of the adverts/messaging first, to understand the impact upon consumers and to address any unintended consequences. We would be happy to advise on this.</w:t>
      </w:r>
    </w:p>
    <w:p w14:paraId="74F4719F" w14:textId="77777777" w:rsidR="00041C49" w:rsidRPr="001872B6" w:rsidRDefault="00041C49" w:rsidP="000751EE">
      <w:pPr>
        <w:jc w:val="both"/>
        <w:rPr>
          <w:rFonts w:asciiTheme="majorHAnsi" w:hAnsiTheme="majorHAnsi" w:cstheme="majorHAnsi"/>
        </w:rPr>
      </w:pPr>
      <w:r w:rsidRPr="001872B6">
        <w:rPr>
          <w:rFonts w:asciiTheme="majorHAnsi" w:hAnsiTheme="majorHAnsi" w:cstheme="majorHAnsi"/>
        </w:rPr>
        <w:t xml:space="preserve">Our rationale is: </w:t>
      </w:r>
    </w:p>
    <w:p w14:paraId="60B7D892" w14:textId="5E6C4A21" w:rsidR="00041C49" w:rsidRPr="001872B6" w:rsidRDefault="0026224D" w:rsidP="000751EE">
      <w:pPr>
        <w:pStyle w:val="NormalWeb"/>
        <w:numPr>
          <w:ilvl w:val="0"/>
          <w:numId w:val="30"/>
        </w:numPr>
        <w:spacing w:before="0" w:beforeAutospacing="0"/>
        <w:jc w:val="both"/>
        <w:rPr>
          <w:rFonts w:asciiTheme="majorHAnsi" w:hAnsiTheme="majorHAnsi" w:cstheme="majorHAnsi"/>
          <w:sz w:val="22"/>
          <w:szCs w:val="22"/>
        </w:rPr>
      </w:pPr>
      <w:r w:rsidRPr="001872B6">
        <w:rPr>
          <w:rFonts w:asciiTheme="majorHAnsi" w:hAnsiTheme="majorHAnsi" w:cstheme="majorHAnsi"/>
          <w:sz w:val="22"/>
          <w:szCs w:val="22"/>
        </w:rPr>
        <w:t xml:space="preserve">Results from the </w:t>
      </w:r>
      <w:r w:rsidR="00041C49" w:rsidRPr="001872B6">
        <w:rPr>
          <w:rFonts w:asciiTheme="majorHAnsi" w:hAnsiTheme="majorHAnsi" w:cstheme="majorHAnsi"/>
          <w:sz w:val="22"/>
          <w:szCs w:val="22"/>
        </w:rPr>
        <w:t>Drinkaware Monitor</w:t>
      </w:r>
      <w:r w:rsidR="00810ECD" w:rsidRPr="001872B6">
        <w:rPr>
          <w:rStyle w:val="FootnoteReference"/>
          <w:rFonts w:asciiTheme="majorHAnsi" w:hAnsiTheme="majorHAnsi" w:cstheme="majorHAnsi"/>
          <w:sz w:val="22"/>
          <w:szCs w:val="22"/>
        </w:rPr>
        <w:footnoteReference w:id="2"/>
      </w:r>
      <w:r w:rsidR="00041C49" w:rsidRPr="001872B6">
        <w:rPr>
          <w:rFonts w:asciiTheme="majorHAnsi" w:hAnsiTheme="majorHAnsi" w:cstheme="majorHAnsi"/>
          <w:sz w:val="22"/>
          <w:szCs w:val="22"/>
        </w:rPr>
        <w:t xml:space="preserve"> </w:t>
      </w:r>
      <w:r w:rsidR="00693700" w:rsidRPr="001872B6">
        <w:rPr>
          <w:rFonts w:asciiTheme="majorHAnsi" w:hAnsiTheme="majorHAnsi" w:cstheme="majorHAnsi"/>
          <w:sz w:val="22"/>
          <w:szCs w:val="22"/>
        </w:rPr>
        <w:t>(</w:t>
      </w:r>
      <w:r w:rsidRPr="001872B6">
        <w:rPr>
          <w:rFonts w:asciiTheme="majorHAnsi" w:hAnsiTheme="majorHAnsi" w:cstheme="majorHAnsi"/>
          <w:sz w:val="22"/>
          <w:szCs w:val="22"/>
        </w:rPr>
        <w:t>our</w:t>
      </w:r>
      <w:r w:rsidR="00693700" w:rsidRPr="001872B6">
        <w:rPr>
          <w:rFonts w:asciiTheme="majorHAnsi" w:hAnsiTheme="majorHAnsi" w:cstheme="majorHAnsi"/>
          <w:sz w:val="22"/>
          <w:szCs w:val="22"/>
        </w:rPr>
        <w:t xml:space="preserve"> annual </w:t>
      </w:r>
      <w:r w:rsidR="00444EFE" w:rsidRPr="001872B6">
        <w:rPr>
          <w:rFonts w:asciiTheme="majorHAnsi" w:hAnsiTheme="majorHAnsi" w:cstheme="majorHAnsi"/>
          <w:sz w:val="22"/>
          <w:szCs w:val="22"/>
        </w:rPr>
        <w:t>survey o</w:t>
      </w:r>
      <w:r w:rsidRPr="001872B6">
        <w:rPr>
          <w:rFonts w:asciiTheme="majorHAnsi" w:hAnsiTheme="majorHAnsi" w:cstheme="majorHAnsi"/>
          <w:sz w:val="22"/>
          <w:szCs w:val="22"/>
        </w:rPr>
        <w:t>f the UK’s</w:t>
      </w:r>
      <w:r w:rsidR="00444EFE" w:rsidRPr="001872B6">
        <w:rPr>
          <w:rFonts w:asciiTheme="majorHAnsi" w:hAnsiTheme="majorHAnsi" w:cstheme="majorHAnsi"/>
          <w:sz w:val="22"/>
          <w:szCs w:val="22"/>
        </w:rPr>
        <w:t xml:space="preserve"> atti</w:t>
      </w:r>
      <w:r w:rsidR="00810ECD" w:rsidRPr="001872B6">
        <w:rPr>
          <w:rFonts w:asciiTheme="majorHAnsi" w:hAnsiTheme="majorHAnsi" w:cstheme="majorHAnsi"/>
          <w:sz w:val="22"/>
          <w:szCs w:val="22"/>
        </w:rPr>
        <w:t>tudes to alcohol and drinking behaviours)</w:t>
      </w:r>
      <w:r w:rsidR="00041C49" w:rsidRPr="001872B6">
        <w:rPr>
          <w:rFonts w:asciiTheme="majorHAnsi" w:hAnsiTheme="majorHAnsi" w:cstheme="majorHAnsi"/>
          <w:sz w:val="22"/>
          <w:szCs w:val="22"/>
        </w:rPr>
        <w:t xml:space="preserve"> suggest that willingness to try lower strength drinks as a moderation technique has increased over time</w:t>
      </w:r>
      <w:r w:rsidR="00E00BF9" w:rsidRPr="001872B6">
        <w:rPr>
          <w:rFonts w:asciiTheme="majorHAnsi" w:hAnsiTheme="majorHAnsi" w:cstheme="majorHAnsi"/>
          <w:sz w:val="22"/>
          <w:szCs w:val="22"/>
        </w:rPr>
        <w:t xml:space="preserve">. </w:t>
      </w:r>
      <w:r w:rsidR="00041C49" w:rsidRPr="001872B6">
        <w:rPr>
          <w:rFonts w:asciiTheme="majorHAnsi" w:hAnsiTheme="majorHAnsi" w:cstheme="majorHAnsi"/>
          <w:sz w:val="22"/>
          <w:szCs w:val="22"/>
        </w:rPr>
        <w:t xml:space="preserve"> The Drinkaware Monitor Study 2020</w:t>
      </w:r>
      <w:r w:rsidR="009C3F5D" w:rsidRPr="001872B6">
        <w:rPr>
          <w:rStyle w:val="FootnoteReference"/>
          <w:rFonts w:asciiTheme="majorHAnsi" w:hAnsiTheme="majorHAnsi" w:cstheme="majorHAnsi"/>
          <w:sz w:val="22"/>
          <w:szCs w:val="22"/>
        </w:rPr>
        <w:footnoteReference w:id="3"/>
      </w:r>
      <w:r w:rsidR="009B6819" w:rsidRPr="001872B6">
        <w:rPr>
          <w:rFonts w:asciiTheme="majorHAnsi" w:hAnsiTheme="majorHAnsi" w:cstheme="majorHAnsi"/>
          <w:sz w:val="22"/>
          <w:szCs w:val="22"/>
        </w:rPr>
        <w:t xml:space="preserve"> </w:t>
      </w:r>
      <w:r w:rsidR="00041C49" w:rsidRPr="001872B6">
        <w:rPr>
          <w:rFonts w:asciiTheme="majorHAnsi" w:hAnsiTheme="majorHAnsi" w:cstheme="majorHAnsi"/>
          <w:sz w:val="22"/>
          <w:szCs w:val="22"/>
        </w:rPr>
        <w:t xml:space="preserve">indicates that one-third (34%) of UK drinkers report drinking or having drunk a lower strength alcoholic beverage </w:t>
      </w:r>
      <w:proofErr w:type="gramStart"/>
      <w:r w:rsidR="00041C49" w:rsidRPr="001872B6">
        <w:rPr>
          <w:rFonts w:asciiTheme="majorHAnsi" w:hAnsiTheme="majorHAnsi" w:cstheme="majorHAnsi"/>
          <w:sz w:val="22"/>
          <w:szCs w:val="22"/>
        </w:rPr>
        <w:t>as a means to</w:t>
      </w:r>
      <w:proofErr w:type="gramEnd"/>
      <w:r w:rsidR="00041C49" w:rsidRPr="001872B6">
        <w:rPr>
          <w:rFonts w:asciiTheme="majorHAnsi" w:hAnsiTheme="majorHAnsi" w:cstheme="majorHAnsi"/>
          <w:sz w:val="22"/>
          <w:szCs w:val="22"/>
        </w:rPr>
        <w:t xml:space="preserve"> moderate their alcohol consumption, a substantial increase from 2017 (25%). In addition, one-third of UK drinkers (33%) expressed an openness to trying lower strength drinks </w:t>
      </w:r>
      <w:proofErr w:type="gramStart"/>
      <w:r w:rsidR="00041C49" w:rsidRPr="001872B6">
        <w:rPr>
          <w:rFonts w:asciiTheme="majorHAnsi" w:hAnsiTheme="majorHAnsi" w:cstheme="majorHAnsi"/>
          <w:sz w:val="22"/>
          <w:szCs w:val="22"/>
        </w:rPr>
        <w:t>as a means to</w:t>
      </w:r>
      <w:proofErr w:type="gramEnd"/>
      <w:r w:rsidR="00041C49" w:rsidRPr="001872B6">
        <w:rPr>
          <w:rFonts w:asciiTheme="majorHAnsi" w:hAnsiTheme="majorHAnsi" w:cstheme="majorHAnsi"/>
          <w:sz w:val="22"/>
          <w:szCs w:val="22"/>
        </w:rPr>
        <w:t xml:space="preserve"> moderate their drinking—an increase from 2018 (30%)</w:t>
      </w:r>
      <w:r w:rsidR="00E00BF9" w:rsidRPr="001872B6">
        <w:rPr>
          <w:rFonts w:asciiTheme="majorHAnsi" w:hAnsiTheme="majorHAnsi" w:cstheme="majorHAnsi"/>
          <w:sz w:val="22"/>
          <w:szCs w:val="22"/>
        </w:rPr>
        <w:t xml:space="preserve">. </w:t>
      </w:r>
    </w:p>
    <w:p w14:paraId="646415DD" w14:textId="0734FBD9" w:rsidR="00633FBB" w:rsidRPr="001872B6" w:rsidRDefault="00633FBB" w:rsidP="001872B6">
      <w:pPr>
        <w:pStyle w:val="CommentText"/>
        <w:numPr>
          <w:ilvl w:val="0"/>
          <w:numId w:val="30"/>
        </w:numPr>
        <w:spacing w:before="240" w:after="240"/>
        <w:jc w:val="both"/>
        <w:rPr>
          <w:rFonts w:asciiTheme="majorHAnsi" w:hAnsiTheme="majorHAnsi" w:cstheme="majorHAnsi"/>
          <w:sz w:val="22"/>
          <w:szCs w:val="22"/>
        </w:rPr>
      </w:pPr>
      <w:r w:rsidRPr="001872B6">
        <w:rPr>
          <w:rFonts w:asciiTheme="majorHAnsi" w:hAnsiTheme="majorHAnsi" w:cstheme="majorHAnsi"/>
          <w:sz w:val="22"/>
          <w:szCs w:val="22"/>
        </w:rPr>
        <w:t>Lower strength products could be a potential moderation technique for higher-risk drinkers.  According to the 2020 Drinkaware Monitor,</w:t>
      </w:r>
      <w:r w:rsidRPr="001872B6">
        <w:rPr>
          <w:rStyle w:val="FootnoteReference"/>
          <w:rFonts w:asciiTheme="majorHAnsi" w:hAnsiTheme="majorHAnsi" w:cstheme="majorHAnsi"/>
          <w:sz w:val="22"/>
          <w:szCs w:val="22"/>
        </w:rPr>
        <w:footnoteReference w:customMarkFollows="1" w:id="4"/>
        <w:t>[2]</w:t>
      </w:r>
      <w:r w:rsidRPr="001872B6">
        <w:rPr>
          <w:rFonts w:asciiTheme="majorHAnsi" w:hAnsiTheme="majorHAnsi" w:cstheme="majorHAnsi"/>
          <w:sz w:val="22"/>
          <w:szCs w:val="22"/>
        </w:rPr>
        <w:t xml:space="preserve"> higher-risk drinkers </w:t>
      </w:r>
      <w:bookmarkStart w:id="0" w:name="_Hlk69392558"/>
      <w:r w:rsidRPr="001872B6">
        <w:rPr>
          <w:rFonts w:asciiTheme="majorHAnsi" w:hAnsiTheme="majorHAnsi" w:cstheme="majorHAnsi"/>
          <w:sz w:val="22"/>
          <w:szCs w:val="22"/>
        </w:rPr>
        <w:t>(defined using the AUDIT-C screening tool,</w:t>
      </w:r>
      <w:r w:rsidRPr="001872B6">
        <w:rPr>
          <w:rStyle w:val="FootnoteReference"/>
          <w:rFonts w:asciiTheme="majorHAnsi" w:hAnsiTheme="majorHAnsi" w:cstheme="majorHAnsi"/>
          <w:sz w:val="22"/>
          <w:szCs w:val="22"/>
        </w:rPr>
        <w:footnoteReference w:customMarkFollows="1" w:id="5"/>
        <w:t>[3]</w:t>
      </w:r>
      <w:r w:rsidRPr="001872B6">
        <w:rPr>
          <w:rFonts w:asciiTheme="majorHAnsi" w:hAnsiTheme="majorHAnsi" w:cstheme="majorHAnsi"/>
          <w:sz w:val="22"/>
          <w:szCs w:val="22"/>
        </w:rPr>
        <w:t xml:space="preserve"> scores 8-12) </w:t>
      </w:r>
      <w:bookmarkEnd w:id="0"/>
      <w:r w:rsidRPr="001872B6">
        <w:rPr>
          <w:rFonts w:asciiTheme="majorHAnsi" w:hAnsiTheme="majorHAnsi" w:cstheme="majorHAnsi"/>
          <w:sz w:val="22"/>
          <w:szCs w:val="22"/>
        </w:rPr>
        <w:t xml:space="preserve">may be open to considering lower strength drinks </w:t>
      </w:r>
      <w:proofErr w:type="gramStart"/>
      <w:r w:rsidRPr="001872B6">
        <w:rPr>
          <w:rFonts w:asciiTheme="majorHAnsi" w:hAnsiTheme="majorHAnsi" w:cstheme="majorHAnsi"/>
          <w:sz w:val="22"/>
          <w:szCs w:val="22"/>
        </w:rPr>
        <w:t>as a way to</w:t>
      </w:r>
      <w:proofErr w:type="gramEnd"/>
      <w:r w:rsidRPr="001872B6">
        <w:rPr>
          <w:rFonts w:asciiTheme="majorHAnsi" w:hAnsiTheme="majorHAnsi" w:cstheme="majorHAnsi"/>
          <w:sz w:val="22"/>
          <w:szCs w:val="22"/>
        </w:rPr>
        <w:t xml:space="preserve"> moderate their drinking</w:t>
      </w:r>
      <w:r w:rsidR="003A5398" w:rsidRPr="001872B6">
        <w:rPr>
          <w:rFonts w:asciiTheme="majorHAnsi" w:hAnsiTheme="majorHAnsi" w:cstheme="majorHAnsi"/>
          <w:sz w:val="22"/>
          <w:szCs w:val="22"/>
        </w:rPr>
        <w:t>;</w:t>
      </w:r>
      <w:r w:rsidRPr="001872B6">
        <w:rPr>
          <w:rFonts w:asciiTheme="majorHAnsi" w:hAnsiTheme="majorHAnsi" w:cstheme="majorHAnsi"/>
          <w:sz w:val="22"/>
          <w:szCs w:val="22"/>
        </w:rPr>
        <w:t xml:space="preserve"> with 11% of high-risk drinkers having tried this in the past, and 32% expressing a willingness to do so. A substantially lower proportion of higher-risk drinkers (37%) report never seeing themselves moderating with a lower strength drink compared to those who can never see themselves moderating with an </w:t>
      </w:r>
      <w:proofErr w:type="gramStart"/>
      <w:r w:rsidRPr="001872B6">
        <w:rPr>
          <w:rFonts w:asciiTheme="majorHAnsi" w:hAnsiTheme="majorHAnsi" w:cstheme="majorHAnsi"/>
          <w:sz w:val="22"/>
          <w:szCs w:val="22"/>
        </w:rPr>
        <w:t>alcohol free</w:t>
      </w:r>
      <w:proofErr w:type="gramEnd"/>
      <w:r w:rsidRPr="001872B6">
        <w:rPr>
          <w:rFonts w:asciiTheme="majorHAnsi" w:hAnsiTheme="majorHAnsi" w:cstheme="majorHAnsi"/>
          <w:sz w:val="22"/>
          <w:szCs w:val="22"/>
        </w:rPr>
        <w:t xml:space="preserve"> drink (60%), suggesting lower strength drinks, rather than alcohol free ones,</w:t>
      </w:r>
      <w:r w:rsidR="00C12F15" w:rsidRPr="001872B6">
        <w:rPr>
          <w:rFonts w:asciiTheme="majorHAnsi" w:hAnsiTheme="majorHAnsi" w:cstheme="majorHAnsi"/>
          <w:sz w:val="22"/>
          <w:szCs w:val="22"/>
        </w:rPr>
        <w:t xml:space="preserve"> </w:t>
      </w:r>
      <w:r w:rsidRPr="001872B6">
        <w:rPr>
          <w:rFonts w:asciiTheme="majorHAnsi" w:hAnsiTheme="majorHAnsi" w:cstheme="majorHAnsi"/>
          <w:sz w:val="22"/>
          <w:szCs w:val="22"/>
        </w:rPr>
        <w:t xml:space="preserve">might possibly be </w:t>
      </w:r>
      <w:r w:rsidR="003B2581" w:rsidRPr="001872B6">
        <w:rPr>
          <w:rFonts w:asciiTheme="majorHAnsi" w:hAnsiTheme="majorHAnsi" w:cstheme="majorHAnsi"/>
          <w:sz w:val="22"/>
          <w:szCs w:val="22"/>
        </w:rPr>
        <w:t xml:space="preserve">an effective </w:t>
      </w:r>
      <w:r w:rsidR="00D03AE0" w:rsidRPr="001872B6">
        <w:rPr>
          <w:rFonts w:asciiTheme="majorHAnsi" w:hAnsiTheme="majorHAnsi" w:cstheme="majorHAnsi"/>
          <w:sz w:val="22"/>
          <w:szCs w:val="22"/>
        </w:rPr>
        <w:t xml:space="preserve">moderation </w:t>
      </w:r>
      <w:r w:rsidR="003B2581" w:rsidRPr="001872B6">
        <w:rPr>
          <w:rFonts w:asciiTheme="majorHAnsi" w:hAnsiTheme="majorHAnsi" w:cstheme="majorHAnsi"/>
          <w:sz w:val="22"/>
          <w:szCs w:val="22"/>
        </w:rPr>
        <w:t>technique</w:t>
      </w:r>
      <w:r w:rsidR="00D03AE0" w:rsidRPr="001872B6">
        <w:rPr>
          <w:rFonts w:asciiTheme="majorHAnsi" w:hAnsiTheme="majorHAnsi" w:cstheme="majorHAnsi"/>
          <w:sz w:val="22"/>
          <w:szCs w:val="22"/>
        </w:rPr>
        <w:t xml:space="preserve">.  However, this needs </w:t>
      </w:r>
      <w:r w:rsidR="003B2581" w:rsidRPr="001872B6">
        <w:rPr>
          <w:rFonts w:asciiTheme="majorHAnsi" w:hAnsiTheme="majorHAnsi" w:cstheme="majorHAnsi"/>
          <w:sz w:val="22"/>
          <w:szCs w:val="22"/>
        </w:rPr>
        <w:t>further rigorous academic study</w:t>
      </w:r>
      <w:r w:rsidR="00C16BE5" w:rsidRPr="001872B6">
        <w:rPr>
          <w:rFonts w:asciiTheme="majorHAnsi" w:hAnsiTheme="majorHAnsi" w:cstheme="majorHAnsi"/>
          <w:sz w:val="22"/>
          <w:szCs w:val="22"/>
        </w:rPr>
        <w:t>.</w:t>
      </w:r>
    </w:p>
    <w:p w14:paraId="31CEE307" w14:textId="77777777" w:rsidR="007C15C6" w:rsidRPr="007C15C6" w:rsidRDefault="007C15C6" w:rsidP="000751EE">
      <w:pPr>
        <w:pStyle w:val="CommentText"/>
        <w:numPr>
          <w:ilvl w:val="0"/>
          <w:numId w:val="30"/>
        </w:numPr>
        <w:spacing w:before="240" w:after="240"/>
        <w:jc w:val="both"/>
        <w:rPr>
          <w:rFonts w:asciiTheme="majorHAnsi" w:hAnsiTheme="majorHAnsi" w:cstheme="majorHAnsi"/>
          <w:sz w:val="22"/>
          <w:szCs w:val="22"/>
        </w:rPr>
      </w:pPr>
      <w:r w:rsidRPr="007C15C6">
        <w:rPr>
          <w:rFonts w:asciiTheme="majorHAnsi" w:hAnsiTheme="majorHAnsi" w:cstheme="majorHAnsi"/>
          <w:sz w:val="22"/>
          <w:szCs w:val="22"/>
        </w:rPr>
        <w:t>Drinkaware Monitor data from 2020 shows that increasing and higher risk drinkers</w:t>
      </w:r>
      <w:r w:rsidRPr="007C15C6">
        <w:rPr>
          <w:rStyle w:val="FootnoteReference"/>
          <w:rFonts w:asciiTheme="majorHAnsi" w:hAnsiTheme="majorHAnsi" w:cstheme="majorHAnsi"/>
          <w:sz w:val="22"/>
          <w:szCs w:val="22"/>
        </w:rPr>
        <w:footnoteReference w:id="6"/>
      </w:r>
      <w:r w:rsidRPr="007C15C6">
        <w:rPr>
          <w:rFonts w:asciiTheme="majorHAnsi" w:hAnsiTheme="majorHAnsi" w:cstheme="majorHAnsi"/>
          <w:sz w:val="22"/>
          <w:szCs w:val="22"/>
        </w:rPr>
        <w:t xml:space="preserve"> are just as willing to consider lower strength drinks as a moderation technique as those who drink at lower risk levels (32% of higher risk drinkers, and 36% of increasing risk drinkers state they are not currently doing this but are willing to do so, compared to 31% of lower risk drinkers) (as defined using the AUDIT-C screening tool,</w:t>
      </w:r>
      <w:r w:rsidRPr="007C15C6">
        <w:rPr>
          <w:rStyle w:val="FootnoteReference"/>
          <w:rFonts w:asciiTheme="majorHAnsi" w:hAnsiTheme="majorHAnsi" w:cstheme="majorHAnsi"/>
          <w:sz w:val="22"/>
          <w:szCs w:val="22"/>
        </w:rPr>
        <w:footnoteReference w:customMarkFollows="1" w:id="7"/>
        <w:t>[3]</w:t>
      </w:r>
      <w:r w:rsidRPr="007C15C6">
        <w:rPr>
          <w:rFonts w:asciiTheme="majorHAnsi" w:hAnsiTheme="majorHAnsi" w:cstheme="majorHAnsi"/>
          <w:sz w:val="22"/>
          <w:szCs w:val="22"/>
        </w:rPr>
        <w:t xml:space="preserve">).  </w:t>
      </w:r>
    </w:p>
    <w:p w14:paraId="5578D968" w14:textId="325C2736" w:rsidR="00EE51DC" w:rsidRPr="00EE51DC" w:rsidRDefault="00EE51DC" w:rsidP="000751EE">
      <w:pPr>
        <w:pStyle w:val="CommentText"/>
        <w:numPr>
          <w:ilvl w:val="0"/>
          <w:numId w:val="30"/>
        </w:numPr>
        <w:spacing w:after="240"/>
        <w:jc w:val="both"/>
        <w:rPr>
          <w:rFonts w:asciiTheme="majorHAnsi" w:hAnsiTheme="majorHAnsi" w:cstheme="majorHAnsi"/>
          <w:sz w:val="22"/>
          <w:szCs w:val="22"/>
        </w:rPr>
      </w:pPr>
      <w:r w:rsidRPr="00EE51DC">
        <w:rPr>
          <w:rFonts w:asciiTheme="majorHAnsi" w:hAnsiTheme="majorHAnsi" w:cstheme="majorHAnsi"/>
          <w:sz w:val="22"/>
          <w:szCs w:val="22"/>
        </w:rPr>
        <w:t xml:space="preserve">Conversely, data from the same survey also shows that drinkers who drink at increasing and higher risk levels are much less likely to say they have been ‘doing this for a while’.  With 12% of higher risk drinkers saying this, 14% of increasing risk drinkers and 25% of </w:t>
      </w:r>
      <w:r w:rsidR="00105D34" w:rsidRPr="00EE51DC">
        <w:rPr>
          <w:rFonts w:asciiTheme="majorHAnsi" w:hAnsiTheme="majorHAnsi" w:cstheme="majorHAnsi"/>
          <w:sz w:val="22"/>
          <w:szCs w:val="22"/>
        </w:rPr>
        <w:t>low-risk</w:t>
      </w:r>
      <w:r w:rsidRPr="00EE51DC">
        <w:rPr>
          <w:rFonts w:asciiTheme="majorHAnsi" w:hAnsiTheme="majorHAnsi" w:cstheme="majorHAnsi"/>
          <w:sz w:val="22"/>
          <w:szCs w:val="22"/>
        </w:rPr>
        <w:t xml:space="preserve"> drinkers</w:t>
      </w:r>
      <w:r>
        <w:rPr>
          <w:rFonts w:asciiTheme="majorHAnsi" w:hAnsiTheme="majorHAnsi" w:cstheme="majorHAnsi"/>
          <w:sz w:val="22"/>
          <w:szCs w:val="22"/>
        </w:rPr>
        <w:t xml:space="preserve"> (as defined using AUDIT C</w:t>
      </w:r>
      <w:r w:rsidRPr="007C15C6">
        <w:rPr>
          <w:rStyle w:val="FootnoteReference"/>
          <w:rFonts w:asciiTheme="majorHAnsi" w:hAnsiTheme="majorHAnsi" w:cstheme="majorHAnsi"/>
          <w:sz w:val="22"/>
          <w:szCs w:val="22"/>
        </w:rPr>
        <w:footnoteReference w:customMarkFollows="1" w:id="8"/>
        <w:t>[3</w:t>
      </w:r>
      <w:r>
        <w:rPr>
          <w:rFonts w:asciiTheme="majorHAnsi" w:hAnsiTheme="majorHAnsi" w:cstheme="majorHAnsi"/>
          <w:sz w:val="22"/>
          <w:szCs w:val="22"/>
        </w:rPr>
        <w:t>)</w:t>
      </w:r>
      <w:r w:rsidRPr="00EE51DC">
        <w:rPr>
          <w:rFonts w:asciiTheme="majorHAnsi" w:hAnsiTheme="majorHAnsi" w:cstheme="majorHAnsi"/>
          <w:sz w:val="22"/>
          <w:szCs w:val="22"/>
        </w:rPr>
        <w:t>.</w:t>
      </w:r>
    </w:p>
    <w:p w14:paraId="4F07A04F" w14:textId="77777777" w:rsidR="0043483C" w:rsidRPr="0043483C" w:rsidRDefault="0043483C" w:rsidP="000751EE">
      <w:pPr>
        <w:pStyle w:val="CommentText"/>
        <w:spacing w:after="240"/>
        <w:jc w:val="both"/>
        <w:rPr>
          <w:rFonts w:asciiTheme="majorHAnsi" w:hAnsiTheme="majorHAnsi" w:cstheme="majorHAnsi"/>
          <w:sz w:val="22"/>
          <w:szCs w:val="22"/>
        </w:rPr>
      </w:pPr>
      <w:r w:rsidRPr="0043483C">
        <w:rPr>
          <w:rFonts w:asciiTheme="majorHAnsi" w:hAnsiTheme="majorHAnsi" w:cstheme="majorHAnsi"/>
          <w:sz w:val="22"/>
          <w:szCs w:val="22"/>
        </w:rPr>
        <w:t>Other considerations</w:t>
      </w:r>
    </w:p>
    <w:p w14:paraId="729DE717" w14:textId="4790DDF1" w:rsidR="0043483C" w:rsidRPr="0043483C" w:rsidRDefault="0043483C" w:rsidP="000751EE">
      <w:pPr>
        <w:pStyle w:val="CommentText"/>
        <w:numPr>
          <w:ilvl w:val="0"/>
          <w:numId w:val="30"/>
        </w:numPr>
        <w:spacing w:after="240"/>
        <w:jc w:val="both"/>
        <w:rPr>
          <w:rFonts w:asciiTheme="majorHAnsi" w:hAnsiTheme="majorHAnsi" w:cstheme="majorHAnsi"/>
          <w:sz w:val="22"/>
          <w:szCs w:val="22"/>
        </w:rPr>
      </w:pPr>
      <w:r w:rsidRPr="0043483C">
        <w:rPr>
          <w:rFonts w:asciiTheme="majorHAnsi" w:hAnsiTheme="majorHAnsi" w:cstheme="majorHAnsi"/>
          <w:sz w:val="22"/>
          <w:szCs w:val="22"/>
        </w:rPr>
        <w:t>Research is required into potential unintended consequences, such as to understand whether lower strength drinks are perceived as additional drinks rather than substitutions for higher strength products by higher risk drinkers, as well as whether a lower strength product can prime a drinker to want a higher strength one.</w:t>
      </w:r>
    </w:p>
    <w:p w14:paraId="38EF0CF1" w14:textId="13256EC2" w:rsidR="00D73B54" w:rsidRPr="00D73B54" w:rsidRDefault="0043483C" w:rsidP="00D73B54">
      <w:pPr>
        <w:pStyle w:val="NormalWeb"/>
        <w:numPr>
          <w:ilvl w:val="0"/>
          <w:numId w:val="30"/>
        </w:numPr>
        <w:jc w:val="both"/>
        <w:rPr>
          <w:rStyle w:val="cf01"/>
          <w:rFonts w:asciiTheme="majorHAnsi" w:hAnsiTheme="majorHAnsi" w:cstheme="majorHAnsi"/>
          <w:sz w:val="22"/>
          <w:szCs w:val="22"/>
        </w:rPr>
      </w:pPr>
      <w:r w:rsidRPr="00975D99">
        <w:rPr>
          <w:rStyle w:val="cf01"/>
          <w:rFonts w:asciiTheme="majorHAnsi" w:hAnsiTheme="majorHAnsi" w:cstheme="majorHAnsi"/>
          <w:sz w:val="22"/>
          <w:szCs w:val="22"/>
        </w:rPr>
        <w:t>Additionally, further research is required on the impact of lower strength and alcohol-free drinks on children and young people. For example, does the proliferation of lower</w:t>
      </w:r>
      <w:r w:rsidR="00975D99" w:rsidRPr="00975D99">
        <w:rPr>
          <w:rStyle w:val="cf01"/>
          <w:rFonts w:asciiTheme="majorHAnsi" w:hAnsiTheme="majorHAnsi" w:cstheme="majorHAnsi"/>
          <w:sz w:val="22"/>
          <w:szCs w:val="22"/>
        </w:rPr>
        <w:t xml:space="preserve"> strength</w:t>
      </w:r>
      <w:r w:rsidRPr="00975D99">
        <w:rPr>
          <w:rStyle w:val="cf01"/>
          <w:rFonts w:asciiTheme="majorHAnsi" w:hAnsiTheme="majorHAnsi" w:cstheme="majorHAnsi"/>
          <w:sz w:val="22"/>
          <w:szCs w:val="22"/>
        </w:rPr>
        <w:t xml:space="preserve"> and alcohol-free drinks normalise drinking</w:t>
      </w:r>
      <w:r w:rsidR="007376C0" w:rsidRPr="00975D99">
        <w:rPr>
          <w:rStyle w:val="cf01"/>
          <w:rFonts w:asciiTheme="majorHAnsi" w:hAnsiTheme="majorHAnsi" w:cstheme="majorHAnsi"/>
          <w:sz w:val="22"/>
          <w:szCs w:val="22"/>
        </w:rPr>
        <w:t xml:space="preserve"> or</w:t>
      </w:r>
      <w:r w:rsidRPr="00975D99">
        <w:rPr>
          <w:rStyle w:val="cf01"/>
          <w:rFonts w:asciiTheme="majorHAnsi" w:hAnsiTheme="majorHAnsi" w:cstheme="majorHAnsi"/>
          <w:sz w:val="22"/>
          <w:szCs w:val="22"/>
        </w:rPr>
        <w:t xml:space="preserve"> act as a gateway to higher</w:t>
      </w:r>
      <w:r w:rsidR="007376C0" w:rsidRPr="00975D99">
        <w:rPr>
          <w:rStyle w:val="cf01"/>
          <w:rFonts w:asciiTheme="majorHAnsi" w:hAnsiTheme="majorHAnsi" w:cstheme="majorHAnsi"/>
          <w:sz w:val="22"/>
          <w:szCs w:val="22"/>
        </w:rPr>
        <w:t xml:space="preserve"> strength</w:t>
      </w:r>
      <w:r w:rsidRPr="00975D99">
        <w:rPr>
          <w:rStyle w:val="cf01"/>
          <w:rFonts w:asciiTheme="majorHAnsi" w:hAnsiTheme="majorHAnsi" w:cstheme="majorHAnsi"/>
          <w:sz w:val="22"/>
          <w:szCs w:val="22"/>
        </w:rPr>
        <w:t xml:space="preserve"> alcohol amongst children and young people</w:t>
      </w:r>
      <w:r w:rsidR="00975D99" w:rsidRPr="00975D99">
        <w:rPr>
          <w:rStyle w:val="cf01"/>
          <w:rFonts w:asciiTheme="majorHAnsi" w:hAnsiTheme="majorHAnsi" w:cstheme="majorHAnsi"/>
          <w:sz w:val="22"/>
          <w:szCs w:val="22"/>
        </w:rPr>
        <w:t>?</w:t>
      </w:r>
      <w:r w:rsidR="00B66D56" w:rsidRPr="00975D99">
        <w:rPr>
          <w:rStyle w:val="cf01"/>
          <w:rFonts w:asciiTheme="majorHAnsi" w:hAnsiTheme="majorHAnsi" w:cstheme="majorHAnsi"/>
          <w:sz w:val="22"/>
          <w:szCs w:val="22"/>
        </w:rPr>
        <w:t xml:space="preserve">  </w:t>
      </w:r>
      <w:r w:rsidRPr="00975D99">
        <w:rPr>
          <w:rStyle w:val="cf01"/>
          <w:rFonts w:asciiTheme="majorHAnsi" w:hAnsiTheme="majorHAnsi" w:cstheme="majorHAnsi"/>
          <w:sz w:val="22"/>
          <w:szCs w:val="22"/>
        </w:rPr>
        <w:t>Currently, there is no published evidence, but we would advocate a strongly precautionary stance.</w:t>
      </w:r>
    </w:p>
    <w:p w14:paraId="4873AC64" w14:textId="77777777" w:rsidR="0043483C" w:rsidRPr="0043483C" w:rsidRDefault="0043483C" w:rsidP="000751EE">
      <w:pPr>
        <w:pStyle w:val="NormalWeb"/>
        <w:numPr>
          <w:ilvl w:val="0"/>
          <w:numId w:val="30"/>
        </w:numPr>
        <w:jc w:val="both"/>
        <w:rPr>
          <w:rStyle w:val="cf01"/>
          <w:rFonts w:asciiTheme="majorHAnsi" w:hAnsiTheme="majorHAnsi" w:cstheme="majorHAnsi"/>
          <w:sz w:val="22"/>
          <w:szCs w:val="22"/>
        </w:rPr>
      </w:pPr>
      <w:r w:rsidRPr="0043483C">
        <w:rPr>
          <w:rStyle w:val="cf01"/>
          <w:rFonts w:asciiTheme="majorHAnsi" w:hAnsiTheme="majorHAnsi" w:cstheme="majorHAnsi"/>
          <w:sz w:val="22"/>
          <w:szCs w:val="22"/>
        </w:rPr>
        <w:t>We would recommend that the guidance offer greater clarity on what ‘relatively high strength’ means or, the definition of ‘standard products’ and on what constitutes a ‘category’? For example, craft beers vs lager / bitter.</w:t>
      </w:r>
    </w:p>
    <w:p w14:paraId="18A94B34" w14:textId="2843F375" w:rsidR="0043483C" w:rsidRPr="0043483C" w:rsidRDefault="0043483C" w:rsidP="000751EE">
      <w:pPr>
        <w:pStyle w:val="CommentText"/>
        <w:numPr>
          <w:ilvl w:val="0"/>
          <w:numId w:val="30"/>
        </w:numPr>
        <w:spacing w:before="240" w:after="240"/>
        <w:jc w:val="both"/>
        <w:rPr>
          <w:rFonts w:asciiTheme="majorHAnsi" w:hAnsiTheme="majorHAnsi" w:cstheme="majorHAnsi"/>
          <w:sz w:val="22"/>
          <w:szCs w:val="22"/>
        </w:rPr>
      </w:pPr>
      <w:r w:rsidRPr="0043483C">
        <w:rPr>
          <w:rFonts w:asciiTheme="majorHAnsi" w:hAnsiTheme="majorHAnsi" w:cstheme="majorHAnsi"/>
          <w:sz w:val="22"/>
          <w:szCs w:val="22"/>
        </w:rPr>
        <w:t xml:space="preserve">There are </w:t>
      </w:r>
      <w:proofErr w:type="gramStart"/>
      <w:r w:rsidRPr="0043483C">
        <w:rPr>
          <w:rFonts w:asciiTheme="majorHAnsi" w:hAnsiTheme="majorHAnsi" w:cstheme="majorHAnsi"/>
          <w:sz w:val="22"/>
          <w:szCs w:val="22"/>
        </w:rPr>
        <w:t>a number of</w:t>
      </w:r>
      <w:proofErr w:type="gramEnd"/>
      <w:r w:rsidRPr="0043483C">
        <w:rPr>
          <w:rFonts w:asciiTheme="majorHAnsi" w:hAnsiTheme="majorHAnsi" w:cstheme="majorHAnsi"/>
          <w:sz w:val="22"/>
          <w:szCs w:val="22"/>
        </w:rPr>
        <w:t xml:space="preserve"> people who </w:t>
      </w:r>
      <w:r w:rsidR="002554C2">
        <w:rPr>
          <w:rFonts w:asciiTheme="majorHAnsi" w:hAnsiTheme="majorHAnsi" w:cstheme="majorHAnsi"/>
          <w:sz w:val="22"/>
          <w:szCs w:val="22"/>
        </w:rPr>
        <w:t>must not or should</w:t>
      </w:r>
      <w:r w:rsidRPr="0043483C">
        <w:rPr>
          <w:rFonts w:asciiTheme="majorHAnsi" w:hAnsiTheme="majorHAnsi" w:cstheme="majorHAnsi"/>
          <w:sz w:val="22"/>
          <w:szCs w:val="22"/>
        </w:rPr>
        <w:t xml:space="preserve"> not drink alcohol for medical or other reasons. It is therefore essential that advertising is clear, so they are not inadvertently misled into consuming alcohol.</w:t>
      </w:r>
    </w:p>
    <w:p w14:paraId="00474183" w14:textId="2BA4D627" w:rsidR="00E00BF9" w:rsidRPr="00E00BF9" w:rsidRDefault="0043483C" w:rsidP="000751EE">
      <w:pPr>
        <w:pStyle w:val="CommentText"/>
        <w:spacing w:after="240"/>
        <w:jc w:val="both"/>
        <w:rPr>
          <w:rFonts w:asciiTheme="majorHAnsi" w:hAnsiTheme="majorHAnsi" w:cstheme="majorHAnsi"/>
          <w:sz w:val="22"/>
          <w:szCs w:val="22"/>
        </w:rPr>
      </w:pPr>
      <w:r w:rsidRPr="0043483C">
        <w:rPr>
          <w:rFonts w:asciiTheme="majorHAnsi" w:hAnsiTheme="majorHAnsi" w:cstheme="majorHAnsi"/>
          <w:sz w:val="22"/>
          <w:szCs w:val="22"/>
        </w:rPr>
        <w:t>We would be happy to offer support to the C</w:t>
      </w:r>
      <w:r w:rsidR="009220A6">
        <w:rPr>
          <w:rFonts w:asciiTheme="majorHAnsi" w:hAnsiTheme="majorHAnsi" w:cstheme="majorHAnsi"/>
          <w:sz w:val="22"/>
          <w:szCs w:val="22"/>
        </w:rPr>
        <w:t>A</w:t>
      </w:r>
      <w:r w:rsidRPr="0043483C">
        <w:rPr>
          <w:rFonts w:asciiTheme="majorHAnsi" w:hAnsiTheme="majorHAnsi" w:cstheme="majorHAnsi"/>
          <w:sz w:val="22"/>
          <w:szCs w:val="22"/>
        </w:rPr>
        <w:t>P on further insight on how to monitor</w:t>
      </w:r>
      <w:r w:rsidR="00B66D56">
        <w:rPr>
          <w:rFonts w:asciiTheme="majorHAnsi" w:hAnsiTheme="majorHAnsi" w:cstheme="majorHAnsi"/>
          <w:sz w:val="22"/>
          <w:szCs w:val="22"/>
        </w:rPr>
        <w:t xml:space="preserve"> </w:t>
      </w:r>
      <w:r w:rsidRPr="0043483C">
        <w:rPr>
          <w:rFonts w:asciiTheme="majorHAnsi" w:hAnsiTheme="majorHAnsi" w:cstheme="majorHAnsi"/>
          <w:sz w:val="22"/>
          <w:szCs w:val="22"/>
        </w:rPr>
        <w:t xml:space="preserve">any unintended consequences of this change.  </w:t>
      </w:r>
    </w:p>
    <w:p w14:paraId="39B102E5" w14:textId="77777777" w:rsidR="00041C49" w:rsidRPr="00197B1B" w:rsidRDefault="00041C49" w:rsidP="000751EE">
      <w:pPr>
        <w:pStyle w:val="NormalWeb"/>
        <w:jc w:val="both"/>
        <w:rPr>
          <w:rFonts w:asciiTheme="majorHAnsi" w:hAnsiTheme="majorHAnsi" w:cstheme="majorHAnsi"/>
          <w:sz w:val="22"/>
          <w:szCs w:val="22"/>
        </w:rPr>
      </w:pPr>
    </w:p>
    <w:p w14:paraId="737B1EC9" w14:textId="77777777" w:rsidR="00866634" w:rsidRPr="00866634" w:rsidRDefault="00866634" w:rsidP="000751EE">
      <w:pPr>
        <w:jc w:val="both"/>
        <w:rPr>
          <w:b/>
          <w:bCs/>
          <w:sz w:val="24"/>
          <w:szCs w:val="24"/>
          <w:lang w:val="en-US"/>
        </w:rPr>
      </w:pPr>
    </w:p>
    <w:sectPr w:rsidR="00866634" w:rsidRPr="00866634" w:rsidSect="00397870">
      <w:headerReference w:type="default" r:id="rId14"/>
      <w:footerReference w:type="even" r:id="rId15"/>
      <w:footerReference w:type="default" r:id="rId16"/>
      <w:pgSz w:w="11907" w:h="16840" w:code="9"/>
      <w:pgMar w:top="1418" w:right="851" w:bottom="873" w:left="992" w:header="0" w:footer="488"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5AC05A" w14:textId="77777777" w:rsidR="00A2199F" w:rsidRDefault="00A2199F" w:rsidP="003208CD">
      <w:pPr>
        <w:spacing w:after="0" w:line="240" w:lineRule="auto"/>
      </w:pPr>
      <w:r>
        <w:separator/>
      </w:r>
    </w:p>
  </w:endnote>
  <w:endnote w:type="continuationSeparator" w:id="0">
    <w:p w14:paraId="11C51F76" w14:textId="77777777" w:rsidR="00A2199F" w:rsidRDefault="00A2199F" w:rsidP="003208CD">
      <w:pPr>
        <w:spacing w:after="0" w:line="240" w:lineRule="auto"/>
      </w:pPr>
      <w:r>
        <w:continuationSeparator/>
      </w:r>
    </w:p>
  </w:endnote>
  <w:endnote w:type="continuationNotice" w:id="1">
    <w:p w14:paraId="181247B5" w14:textId="77777777" w:rsidR="00A2199F" w:rsidRDefault="00A219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yriad Pro">
    <w:altName w:val="Corbel"/>
    <w:charset w:val="00"/>
    <w:family w:val="auto"/>
    <w:pitch w:val="variable"/>
    <w:sig w:usb0="00000001"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13179" w14:textId="77777777" w:rsidR="00C24B76" w:rsidRDefault="00C24B76" w:rsidP="007514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53C7F8" w14:textId="77777777" w:rsidR="00C24B76" w:rsidRDefault="00C24B76" w:rsidP="007514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94453" w14:textId="77777777" w:rsidR="00C24B76" w:rsidRPr="00751458" w:rsidRDefault="00C24B76" w:rsidP="00D86F4A">
    <w:pPr>
      <w:pStyle w:val="Footer"/>
      <w:framePr w:w="170" w:h="306" w:hRule="exact" w:wrap="around" w:vAnchor="page" w:hAnchor="page" w:x="10617" w:y="16025"/>
      <w:rPr>
        <w:rStyle w:val="PageNumber"/>
        <w:rFonts w:ascii="Myriad Pro" w:hAnsi="Myriad Pro"/>
        <w:b/>
        <w:color w:val="FFFFFF" w:themeColor="background1"/>
      </w:rPr>
    </w:pPr>
    <w:r w:rsidRPr="00751458">
      <w:rPr>
        <w:rStyle w:val="PageNumber"/>
        <w:rFonts w:ascii="Myriad Pro" w:hAnsi="Myriad Pro"/>
        <w:b/>
        <w:color w:val="FFFFFF" w:themeColor="background1"/>
      </w:rPr>
      <w:fldChar w:fldCharType="begin"/>
    </w:r>
    <w:r w:rsidRPr="00751458">
      <w:rPr>
        <w:rStyle w:val="PageNumber"/>
        <w:rFonts w:ascii="Myriad Pro" w:hAnsi="Myriad Pro"/>
        <w:b/>
        <w:color w:val="FFFFFF" w:themeColor="background1"/>
      </w:rPr>
      <w:instrText xml:space="preserve">PAGE  </w:instrText>
    </w:r>
    <w:r w:rsidRPr="00751458">
      <w:rPr>
        <w:rStyle w:val="PageNumber"/>
        <w:rFonts w:ascii="Myriad Pro" w:hAnsi="Myriad Pro"/>
        <w:b/>
        <w:color w:val="FFFFFF" w:themeColor="background1"/>
      </w:rPr>
      <w:fldChar w:fldCharType="separate"/>
    </w:r>
    <w:r w:rsidR="00B37282">
      <w:rPr>
        <w:rStyle w:val="PageNumber"/>
        <w:rFonts w:ascii="Myriad Pro" w:hAnsi="Myriad Pro"/>
        <w:b/>
        <w:noProof/>
        <w:color w:val="FFFFFF" w:themeColor="background1"/>
      </w:rPr>
      <w:t>1</w:t>
    </w:r>
    <w:r w:rsidRPr="00751458">
      <w:rPr>
        <w:rStyle w:val="PageNumber"/>
        <w:rFonts w:ascii="Myriad Pro" w:hAnsi="Myriad Pro"/>
        <w:b/>
        <w:color w:val="FFFFFF" w:themeColor="background1"/>
      </w:rPr>
      <w:fldChar w:fldCharType="end"/>
    </w:r>
  </w:p>
  <w:p w14:paraId="638EF54C" w14:textId="77777777" w:rsidR="00C24B76" w:rsidRDefault="00C24B76" w:rsidP="00751458">
    <w:pPr>
      <w:pStyle w:val="Footer"/>
      <w:spacing w:after="0" w:line="240" w:lineRule="auto"/>
      <w:ind w:left="-709" w:right="360"/>
    </w:pPr>
    <w:r>
      <w:rPr>
        <w:noProof/>
      </w:rPr>
      <w:drawing>
        <wp:inline distT="0" distB="0" distL="0" distR="0" wp14:anchorId="4BD7B9E5" wp14:editId="2E03746A">
          <wp:extent cx="6879266" cy="3083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9368" cy="3092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6484CA" w14:textId="77777777" w:rsidR="00A2199F" w:rsidRDefault="00A2199F" w:rsidP="003208CD">
      <w:pPr>
        <w:spacing w:after="0" w:line="240" w:lineRule="auto"/>
      </w:pPr>
      <w:r>
        <w:separator/>
      </w:r>
    </w:p>
  </w:footnote>
  <w:footnote w:type="continuationSeparator" w:id="0">
    <w:p w14:paraId="0FE4E3F9" w14:textId="77777777" w:rsidR="00A2199F" w:rsidRDefault="00A2199F" w:rsidP="003208CD">
      <w:pPr>
        <w:spacing w:after="0" w:line="240" w:lineRule="auto"/>
      </w:pPr>
      <w:r>
        <w:continuationSeparator/>
      </w:r>
    </w:p>
  </w:footnote>
  <w:footnote w:type="continuationNotice" w:id="1">
    <w:p w14:paraId="3C71309E" w14:textId="77777777" w:rsidR="00A2199F" w:rsidRDefault="00A2199F">
      <w:pPr>
        <w:spacing w:after="0" w:line="240" w:lineRule="auto"/>
      </w:pPr>
    </w:p>
  </w:footnote>
  <w:footnote w:id="2">
    <w:p w14:paraId="7639074A" w14:textId="72940602" w:rsidR="00810ECD" w:rsidRPr="009C3F5D" w:rsidRDefault="00810ECD">
      <w:pPr>
        <w:pStyle w:val="FootnoteText"/>
        <w:rPr>
          <w:rFonts w:asciiTheme="majorHAnsi" w:hAnsiTheme="majorHAnsi" w:cstheme="majorHAnsi"/>
          <w:sz w:val="16"/>
          <w:szCs w:val="16"/>
          <w:lang w:val="en-US"/>
        </w:rPr>
      </w:pPr>
      <w:r w:rsidRPr="009C3F5D">
        <w:rPr>
          <w:rStyle w:val="FootnoteReference"/>
          <w:rFonts w:asciiTheme="majorHAnsi" w:hAnsiTheme="majorHAnsi" w:cstheme="majorHAnsi"/>
          <w:sz w:val="16"/>
          <w:szCs w:val="16"/>
        </w:rPr>
        <w:footnoteRef/>
      </w:r>
      <w:r w:rsidR="00677CC6">
        <w:rPr>
          <w:rFonts w:asciiTheme="majorHAnsi" w:hAnsiTheme="majorHAnsi" w:cstheme="majorHAnsi"/>
          <w:sz w:val="16"/>
          <w:szCs w:val="16"/>
        </w:rPr>
        <w:t>This is an annual survey with a nationally representative sample of around 9,000 participants</w:t>
      </w:r>
      <w:r w:rsidRPr="009C3F5D">
        <w:rPr>
          <w:rFonts w:asciiTheme="majorHAnsi" w:hAnsiTheme="majorHAnsi" w:cstheme="majorHAnsi"/>
          <w:sz w:val="16"/>
          <w:szCs w:val="16"/>
        </w:rPr>
        <w:t xml:space="preserve"> </w:t>
      </w:r>
      <w:hyperlink r:id="rId1" w:history="1">
        <w:r w:rsidR="009C3F5D" w:rsidRPr="009C3F5D">
          <w:rPr>
            <w:rStyle w:val="Hyperlink"/>
            <w:rFonts w:asciiTheme="majorHAnsi" w:hAnsiTheme="majorHAnsi" w:cstheme="majorHAnsi"/>
            <w:sz w:val="16"/>
            <w:szCs w:val="16"/>
          </w:rPr>
          <w:t>https://www.drinkaware.co.uk/research/drinkaware-monitors</w:t>
        </w:r>
      </w:hyperlink>
      <w:r w:rsidR="009C3F5D" w:rsidRPr="009C3F5D">
        <w:rPr>
          <w:rFonts w:asciiTheme="majorHAnsi" w:hAnsiTheme="majorHAnsi" w:cstheme="majorHAnsi"/>
          <w:sz w:val="16"/>
          <w:szCs w:val="16"/>
        </w:rPr>
        <w:t xml:space="preserve"> </w:t>
      </w:r>
    </w:p>
  </w:footnote>
  <w:footnote w:id="3">
    <w:p w14:paraId="3976D8F0" w14:textId="46D7833B" w:rsidR="009C3F5D" w:rsidRPr="009C3F5D" w:rsidRDefault="009C3F5D">
      <w:pPr>
        <w:pStyle w:val="FootnoteText"/>
        <w:rPr>
          <w:rFonts w:asciiTheme="majorHAnsi" w:hAnsiTheme="majorHAnsi" w:cstheme="majorHAnsi"/>
          <w:sz w:val="16"/>
          <w:szCs w:val="16"/>
          <w:lang w:val="en-US"/>
        </w:rPr>
      </w:pPr>
      <w:r w:rsidRPr="009C3F5D">
        <w:rPr>
          <w:rStyle w:val="FootnoteReference"/>
          <w:rFonts w:asciiTheme="majorHAnsi" w:hAnsiTheme="majorHAnsi" w:cstheme="majorHAnsi"/>
          <w:sz w:val="16"/>
          <w:szCs w:val="16"/>
        </w:rPr>
        <w:footnoteRef/>
      </w:r>
      <w:r w:rsidRPr="009C3F5D">
        <w:rPr>
          <w:rFonts w:asciiTheme="majorHAnsi" w:hAnsiTheme="majorHAnsi" w:cstheme="majorHAnsi"/>
          <w:sz w:val="16"/>
          <w:szCs w:val="16"/>
        </w:rPr>
        <w:t xml:space="preserve"> Gunstone, B., Samra, S., &amp; Newbold, P. (2020, October). </w:t>
      </w:r>
      <w:r w:rsidRPr="009C3F5D">
        <w:rPr>
          <w:rFonts w:asciiTheme="majorHAnsi" w:hAnsiTheme="majorHAnsi" w:cstheme="majorHAnsi"/>
          <w:i/>
          <w:iCs/>
          <w:sz w:val="16"/>
          <w:szCs w:val="16"/>
        </w:rPr>
        <w:t>Monitor 2020</w:t>
      </w:r>
      <w:r w:rsidRPr="009C3F5D">
        <w:rPr>
          <w:rFonts w:asciiTheme="majorHAnsi" w:hAnsiTheme="majorHAnsi" w:cstheme="majorHAnsi"/>
          <w:sz w:val="16"/>
          <w:szCs w:val="16"/>
        </w:rPr>
        <w:t xml:space="preserve">. YouGov and Drinkaware. </w:t>
      </w:r>
      <w:hyperlink r:id="rId2" w:history="1">
        <w:r w:rsidRPr="009C3F5D">
          <w:rPr>
            <w:rStyle w:val="Hyperlink"/>
            <w:rFonts w:asciiTheme="majorHAnsi" w:hAnsiTheme="majorHAnsi" w:cstheme="majorHAnsi"/>
            <w:sz w:val="16"/>
            <w:szCs w:val="16"/>
          </w:rPr>
          <w:t>https://www.drinkaware.co.uk/research/drinkaware-monitors/drinkaware-monitor-2020-drinking-and-the-coronavirus-pandemic</w:t>
        </w:r>
      </w:hyperlink>
    </w:p>
  </w:footnote>
  <w:footnote w:id="4">
    <w:p w14:paraId="4BA5B6D9" w14:textId="77777777" w:rsidR="00633FBB" w:rsidRDefault="00633FBB" w:rsidP="00633FBB">
      <w:pPr>
        <w:pStyle w:val="FootnoteText"/>
        <w:rPr>
          <w:rFonts w:ascii="Calibri Light" w:hAnsi="Calibri Light" w:cs="Calibri Light"/>
          <w:sz w:val="14"/>
          <w:szCs w:val="14"/>
        </w:rPr>
      </w:pPr>
      <w:r>
        <w:rPr>
          <w:rStyle w:val="FootnoteReference"/>
          <w:rFonts w:ascii="Calibri Light" w:hAnsi="Calibri Light" w:cs="Calibri Light"/>
          <w:sz w:val="14"/>
          <w:szCs w:val="14"/>
        </w:rPr>
        <w:t>[2]</w:t>
      </w:r>
      <w:r>
        <w:rPr>
          <w:rFonts w:ascii="Calibri Light" w:hAnsi="Calibri Light" w:cs="Calibri Light"/>
          <w:sz w:val="14"/>
          <w:szCs w:val="14"/>
        </w:rPr>
        <w:t xml:space="preserve"> Ibid.</w:t>
      </w:r>
    </w:p>
  </w:footnote>
  <w:footnote w:id="5">
    <w:p w14:paraId="2F647900" w14:textId="77777777" w:rsidR="00633FBB" w:rsidRDefault="00633FBB" w:rsidP="00633FBB">
      <w:pPr>
        <w:pStyle w:val="FootnoteText"/>
        <w:rPr>
          <w:rFonts w:ascii="Calibri Light" w:hAnsi="Calibri Light" w:cs="Calibri Light"/>
          <w:sz w:val="14"/>
          <w:szCs w:val="14"/>
        </w:rPr>
      </w:pPr>
      <w:r>
        <w:rPr>
          <w:rStyle w:val="FootnoteReference"/>
          <w:rFonts w:ascii="Calibri Light" w:hAnsi="Calibri Light" w:cs="Calibri Light"/>
          <w:sz w:val="14"/>
          <w:szCs w:val="14"/>
        </w:rPr>
        <w:t>[3]</w:t>
      </w:r>
      <w:r>
        <w:rPr>
          <w:rFonts w:ascii="Calibri Light" w:hAnsi="Calibri Light" w:cs="Calibri Light"/>
          <w:sz w:val="14"/>
          <w:szCs w:val="14"/>
        </w:rPr>
        <w:t xml:space="preserve"> Gov.uk. (2020, October 17) </w:t>
      </w:r>
      <w:r>
        <w:rPr>
          <w:rFonts w:ascii="Calibri Light" w:hAnsi="Calibri Light" w:cs="Calibri Light"/>
          <w:i/>
          <w:iCs/>
          <w:sz w:val="14"/>
          <w:szCs w:val="14"/>
        </w:rPr>
        <w:t>Alcohol use screening tests</w:t>
      </w:r>
      <w:r>
        <w:rPr>
          <w:rFonts w:ascii="Calibri Light" w:hAnsi="Calibri Light" w:cs="Calibri Light"/>
          <w:sz w:val="14"/>
          <w:szCs w:val="14"/>
        </w:rPr>
        <w:t xml:space="preserve">. AUDIT-C. </w:t>
      </w:r>
      <w:hyperlink r:id="rId3" w:history="1">
        <w:r>
          <w:rPr>
            <w:rStyle w:val="Hyperlink"/>
            <w:rFonts w:ascii="Calibri Light" w:hAnsi="Calibri Light" w:cs="Calibri Light"/>
            <w:sz w:val="14"/>
            <w:szCs w:val="14"/>
          </w:rPr>
          <w:t>https://www.gov.uk/government/publications/alcohol-use-screening-tests</w:t>
        </w:r>
      </w:hyperlink>
    </w:p>
  </w:footnote>
  <w:footnote w:id="6">
    <w:p w14:paraId="50361CFE" w14:textId="0F8A1A5E" w:rsidR="007C15C6" w:rsidRPr="00B66D56" w:rsidRDefault="007C15C6" w:rsidP="007C15C6">
      <w:pPr>
        <w:pStyle w:val="FootnoteText"/>
        <w:rPr>
          <w:sz w:val="16"/>
          <w:szCs w:val="16"/>
        </w:rPr>
      </w:pPr>
    </w:p>
  </w:footnote>
  <w:footnote w:id="7">
    <w:p w14:paraId="47030C99" w14:textId="77777777" w:rsidR="007C15C6" w:rsidRDefault="007C15C6" w:rsidP="007C15C6">
      <w:pPr>
        <w:pStyle w:val="FootnoteText"/>
        <w:rPr>
          <w:rFonts w:ascii="Calibri Light" w:hAnsi="Calibri Light" w:cs="Calibri Light"/>
          <w:sz w:val="14"/>
          <w:szCs w:val="14"/>
        </w:rPr>
      </w:pPr>
      <w:r>
        <w:rPr>
          <w:rStyle w:val="FootnoteReference"/>
          <w:rFonts w:ascii="Calibri Light" w:hAnsi="Calibri Light" w:cs="Calibri Light"/>
          <w:sz w:val="14"/>
          <w:szCs w:val="14"/>
        </w:rPr>
        <w:t>[3]</w:t>
      </w:r>
      <w:r>
        <w:rPr>
          <w:rFonts w:ascii="Calibri Light" w:hAnsi="Calibri Light" w:cs="Calibri Light"/>
          <w:sz w:val="14"/>
          <w:szCs w:val="14"/>
        </w:rPr>
        <w:t xml:space="preserve"> Gov.uk. (2020, October 17) </w:t>
      </w:r>
      <w:r>
        <w:rPr>
          <w:rFonts w:ascii="Calibri Light" w:hAnsi="Calibri Light" w:cs="Calibri Light"/>
          <w:i/>
          <w:iCs/>
          <w:sz w:val="14"/>
          <w:szCs w:val="14"/>
        </w:rPr>
        <w:t>Alcohol use screening tests</w:t>
      </w:r>
      <w:r>
        <w:rPr>
          <w:rFonts w:ascii="Calibri Light" w:hAnsi="Calibri Light" w:cs="Calibri Light"/>
          <w:sz w:val="14"/>
          <w:szCs w:val="14"/>
        </w:rPr>
        <w:t xml:space="preserve">. AUDIT-C. </w:t>
      </w:r>
      <w:hyperlink r:id="rId4" w:history="1">
        <w:r>
          <w:rPr>
            <w:rStyle w:val="Hyperlink"/>
            <w:rFonts w:ascii="Calibri Light" w:hAnsi="Calibri Light" w:cs="Calibri Light"/>
            <w:sz w:val="14"/>
            <w:szCs w:val="14"/>
          </w:rPr>
          <w:t>https://www.gov.uk/government/publications/alcohol-use-screening-tests</w:t>
        </w:r>
      </w:hyperlink>
    </w:p>
  </w:footnote>
  <w:footnote w:id="8">
    <w:p w14:paraId="6EDA1B22" w14:textId="77777777" w:rsidR="00EE51DC" w:rsidRDefault="00EE51DC" w:rsidP="00EE51DC">
      <w:pPr>
        <w:pStyle w:val="FootnoteText"/>
        <w:rPr>
          <w:rFonts w:ascii="Calibri Light" w:hAnsi="Calibri Light" w:cs="Calibri Light"/>
          <w:sz w:val="14"/>
          <w:szCs w:val="14"/>
        </w:rPr>
      </w:pPr>
      <w:r>
        <w:rPr>
          <w:rStyle w:val="FootnoteReference"/>
          <w:rFonts w:ascii="Calibri Light" w:hAnsi="Calibri Light" w:cs="Calibri Light"/>
          <w:sz w:val="14"/>
          <w:szCs w:val="14"/>
        </w:rPr>
        <w:t>[3]</w:t>
      </w:r>
      <w:r>
        <w:rPr>
          <w:rFonts w:ascii="Calibri Light" w:hAnsi="Calibri Light" w:cs="Calibri Light"/>
          <w:sz w:val="14"/>
          <w:szCs w:val="14"/>
        </w:rPr>
        <w:t xml:space="preserve"> Gov.uk. (2020, October 17) </w:t>
      </w:r>
      <w:r>
        <w:rPr>
          <w:rFonts w:ascii="Calibri Light" w:hAnsi="Calibri Light" w:cs="Calibri Light"/>
          <w:i/>
          <w:iCs/>
          <w:sz w:val="14"/>
          <w:szCs w:val="14"/>
        </w:rPr>
        <w:t>Alcohol use screening tests</w:t>
      </w:r>
      <w:r>
        <w:rPr>
          <w:rFonts w:ascii="Calibri Light" w:hAnsi="Calibri Light" w:cs="Calibri Light"/>
          <w:sz w:val="14"/>
          <w:szCs w:val="14"/>
        </w:rPr>
        <w:t xml:space="preserve">. AUDIT-C. </w:t>
      </w:r>
      <w:hyperlink r:id="rId5" w:history="1">
        <w:r>
          <w:rPr>
            <w:rStyle w:val="Hyperlink"/>
            <w:rFonts w:ascii="Calibri Light" w:hAnsi="Calibri Light" w:cs="Calibri Light"/>
            <w:sz w:val="14"/>
            <w:szCs w:val="14"/>
          </w:rPr>
          <w:t>https://www.gov.uk/government/publications/alcohol-use-screening-tests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06AD3" w14:textId="77777777" w:rsidR="00C24B76" w:rsidRPr="00E03005" w:rsidRDefault="00C24B76" w:rsidP="003208CD">
    <w:pPr>
      <w:pStyle w:val="Header"/>
      <w:ind w:left="-1418"/>
    </w:pPr>
    <w:r>
      <w:rPr>
        <w:noProof/>
      </w:rPr>
      <w:drawing>
        <wp:inline distT="0" distB="0" distL="0" distR="0" wp14:anchorId="402C4A1E" wp14:editId="7E242621">
          <wp:extent cx="7549108" cy="999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9990" cy="99825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CA61C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AB7EAB96"/>
    <w:lvl w:ilvl="0">
      <w:numFmt w:val="bullet"/>
      <w:lvlText w:val="*"/>
      <w:lvlJc w:val="left"/>
    </w:lvl>
  </w:abstractNum>
  <w:abstractNum w:abstractNumId="2" w15:restartNumberingAfterBreak="0">
    <w:nsid w:val="00FF5B1E"/>
    <w:multiLevelType w:val="hybridMultilevel"/>
    <w:tmpl w:val="B37AC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87BAB"/>
    <w:multiLevelType w:val="hybridMultilevel"/>
    <w:tmpl w:val="359AD75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815386E"/>
    <w:multiLevelType w:val="hybridMultilevel"/>
    <w:tmpl w:val="2F1CC4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9844BA8"/>
    <w:multiLevelType w:val="hybridMultilevel"/>
    <w:tmpl w:val="36EA30E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AC2304"/>
    <w:multiLevelType w:val="hybridMultilevel"/>
    <w:tmpl w:val="2006D3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246EF8"/>
    <w:multiLevelType w:val="hybridMultilevel"/>
    <w:tmpl w:val="E7FC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2F2954"/>
    <w:multiLevelType w:val="hybridMultilevel"/>
    <w:tmpl w:val="59BE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BD72AC"/>
    <w:multiLevelType w:val="hybridMultilevel"/>
    <w:tmpl w:val="1AF0DA5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43B5E27"/>
    <w:multiLevelType w:val="hybridMultilevel"/>
    <w:tmpl w:val="05EED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8018AD"/>
    <w:multiLevelType w:val="hybridMultilevel"/>
    <w:tmpl w:val="AB485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085E99"/>
    <w:multiLevelType w:val="hybridMultilevel"/>
    <w:tmpl w:val="7910F6D6"/>
    <w:lvl w:ilvl="0" w:tplc="059A368A">
      <w:start w:val="3"/>
      <w:numFmt w:val="bullet"/>
      <w:lvlText w:val="•"/>
      <w:lvlJc w:val="left"/>
      <w:pPr>
        <w:ind w:left="1080" w:hanging="720"/>
      </w:pPr>
      <w:rPr>
        <w:rFonts w:ascii="Calibri" w:eastAsia="Calibri" w:hAnsi="Calibri"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373C4E"/>
    <w:multiLevelType w:val="hybridMultilevel"/>
    <w:tmpl w:val="49CC9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921B6B"/>
    <w:multiLevelType w:val="hybridMultilevel"/>
    <w:tmpl w:val="163A0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6231AA"/>
    <w:multiLevelType w:val="hybridMultilevel"/>
    <w:tmpl w:val="1FCE7626"/>
    <w:lvl w:ilvl="0" w:tplc="059A368A">
      <w:start w:val="3"/>
      <w:numFmt w:val="bullet"/>
      <w:lvlText w:val="•"/>
      <w:lvlJc w:val="left"/>
      <w:pPr>
        <w:ind w:left="720" w:hanging="360"/>
      </w:pPr>
      <w:rPr>
        <w:rFonts w:ascii="Calibri" w:eastAsia="Calibri" w:hAnsi="Calibri"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7C6691"/>
    <w:multiLevelType w:val="hybridMultilevel"/>
    <w:tmpl w:val="06BCDE9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7" w15:restartNumberingAfterBreak="0">
    <w:nsid w:val="396B0BCD"/>
    <w:multiLevelType w:val="hybridMultilevel"/>
    <w:tmpl w:val="E8AA60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0E0FB0"/>
    <w:multiLevelType w:val="hybridMultilevel"/>
    <w:tmpl w:val="C63A1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7B0F0B"/>
    <w:multiLevelType w:val="hybridMultilevel"/>
    <w:tmpl w:val="BCDA72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DB70B2"/>
    <w:multiLevelType w:val="hybridMultilevel"/>
    <w:tmpl w:val="A1607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DA4C50"/>
    <w:multiLevelType w:val="hybridMultilevel"/>
    <w:tmpl w:val="9C26DC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CC7E3F"/>
    <w:multiLevelType w:val="hybridMultilevel"/>
    <w:tmpl w:val="15A825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D47C0D"/>
    <w:multiLevelType w:val="hybridMultilevel"/>
    <w:tmpl w:val="301AC1E6"/>
    <w:lvl w:ilvl="0" w:tplc="1EC24F8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096D62"/>
    <w:multiLevelType w:val="hybridMultilevel"/>
    <w:tmpl w:val="F16C43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675461"/>
    <w:multiLevelType w:val="hybridMultilevel"/>
    <w:tmpl w:val="CF708C0A"/>
    <w:lvl w:ilvl="0" w:tplc="059A368A">
      <w:start w:val="3"/>
      <w:numFmt w:val="bullet"/>
      <w:lvlText w:val="•"/>
      <w:lvlJc w:val="left"/>
      <w:pPr>
        <w:ind w:left="1080" w:hanging="720"/>
      </w:pPr>
      <w:rPr>
        <w:rFonts w:ascii="Calibri" w:eastAsia="Calibri" w:hAnsi="Calibri"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391903"/>
    <w:multiLevelType w:val="hybridMultilevel"/>
    <w:tmpl w:val="8918C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682120"/>
    <w:multiLevelType w:val="hybridMultilevel"/>
    <w:tmpl w:val="2440F478"/>
    <w:lvl w:ilvl="0" w:tplc="059A368A">
      <w:start w:val="3"/>
      <w:numFmt w:val="bullet"/>
      <w:lvlText w:val="•"/>
      <w:lvlJc w:val="left"/>
      <w:pPr>
        <w:ind w:left="1080" w:hanging="720"/>
      </w:pPr>
      <w:rPr>
        <w:rFonts w:ascii="Calibri" w:eastAsia="Calibri" w:hAnsi="Calibri"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931F58"/>
    <w:multiLevelType w:val="hybridMultilevel"/>
    <w:tmpl w:val="D6729146"/>
    <w:lvl w:ilvl="0" w:tplc="8812AB26">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E1C5D38"/>
    <w:multiLevelType w:val="hybridMultilevel"/>
    <w:tmpl w:val="7B68A5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numFmt w:val="bullet"/>
        <w:lvlText w:val=""/>
        <w:legacy w:legacy="1" w:legacySpace="0" w:legacyIndent="0"/>
        <w:lvlJc w:val="left"/>
        <w:rPr>
          <w:rFonts w:ascii="Symbol" w:hAnsi="Symbol" w:hint="default"/>
        </w:rPr>
      </w:lvl>
    </w:lvlOverride>
  </w:num>
  <w:num w:numId="3">
    <w:abstractNumId w:val="28"/>
  </w:num>
  <w:num w:numId="4">
    <w:abstractNumId w:val="29"/>
  </w:num>
  <w:num w:numId="5">
    <w:abstractNumId w:val="8"/>
  </w:num>
  <w:num w:numId="6">
    <w:abstractNumId w:val="14"/>
  </w:num>
  <w:num w:numId="7">
    <w:abstractNumId w:val="20"/>
  </w:num>
  <w:num w:numId="8">
    <w:abstractNumId w:val="22"/>
  </w:num>
  <w:num w:numId="9">
    <w:abstractNumId w:val="7"/>
  </w:num>
  <w:num w:numId="10">
    <w:abstractNumId w:val="16"/>
  </w:num>
  <w:num w:numId="11">
    <w:abstractNumId w:val="4"/>
  </w:num>
  <w:num w:numId="12">
    <w:abstractNumId w:val="24"/>
  </w:num>
  <w:num w:numId="13">
    <w:abstractNumId w:val="13"/>
  </w:num>
  <w:num w:numId="14">
    <w:abstractNumId w:val="11"/>
  </w:num>
  <w:num w:numId="15">
    <w:abstractNumId w:val="19"/>
  </w:num>
  <w:num w:numId="16">
    <w:abstractNumId w:val="23"/>
  </w:num>
  <w:num w:numId="17">
    <w:abstractNumId w:val="18"/>
  </w:num>
  <w:num w:numId="18">
    <w:abstractNumId w:val="17"/>
  </w:num>
  <w:num w:numId="19">
    <w:abstractNumId w:val="21"/>
  </w:num>
  <w:num w:numId="20">
    <w:abstractNumId w:val="5"/>
  </w:num>
  <w:num w:numId="21">
    <w:abstractNumId w:val="2"/>
  </w:num>
  <w:num w:numId="22">
    <w:abstractNumId w:val="12"/>
  </w:num>
  <w:num w:numId="23">
    <w:abstractNumId w:val="27"/>
  </w:num>
  <w:num w:numId="24">
    <w:abstractNumId w:val="6"/>
  </w:num>
  <w:num w:numId="25">
    <w:abstractNumId w:val="26"/>
  </w:num>
  <w:num w:numId="26">
    <w:abstractNumId w:val="9"/>
  </w:num>
  <w:num w:numId="27">
    <w:abstractNumId w:val="3"/>
  </w:num>
  <w:num w:numId="28">
    <w:abstractNumId w:val="25"/>
  </w:num>
  <w:num w:numId="29">
    <w:abstractNumId w:val="15"/>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bordersDoNotSurroundHeader/>
  <w:bordersDoNotSurroundFooter/>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2208"/>
    <w:rsid w:val="000056B9"/>
    <w:rsid w:val="0002363F"/>
    <w:rsid w:val="00041C49"/>
    <w:rsid w:val="00067EAA"/>
    <w:rsid w:val="000751EE"/>
    <w:rsid w:val="000A124A"/>
    <w:rsid w:val="000B24CF"/>
    <w:rsid w:val="000D6221"/>
    <w:rsid w:val="000E0E07"/>
    <w:rsid w:val="000F5039"/>
    <w:rsid w:val="00105D34"/>
    <w:rsid w:val="001066D9"/>
    <w:rsid w:val="00113BF0"/>
    <w:rsid w:val="00134CA2"/>
    <w:rsid w:val="001544E4"/>
    <w:rsid w:val="00182029"/>
    <w:rsid w:val="001872B6"/>
    <w:rsid w:val="0019651B"/>
    <w:rsid w:val="00197B1B"/>
    <w:rsid w:val="001C3580"/>
    <w:rsid w:val="001C630A"/>
    <w:rsid w:val="001C665A"/>
    <w:rsid w:val="001D0F26"/>
    <w:rsid w:val="001D3FB0"/>
    <w:rsid w:val="001E1BCC"/>
    <w:rsid w:val="001F6A29"/>
    <w:rsid w:val="00201C0A"/>
    <w:rsid w:val="002027E2"/>
    <w:rsid w:val="00206269"/>
    <w:rsid w:val="00210FB9"/>
    <w:rsid w:val="00213DF7"/>
    <w:rsid w:val="00245A43"/>
    <w:rsid w:val="00250082"/>
    <w:rsid w:val="002554C2"/>
    <w:rsid w:val="0026224D"/>
    <w:rsid w:val="002624E8"/>
    <w:rsid w:val="0027355D"/>
    <w:rsid w:val="00277406"/>
    <w:rsid w:val="00291A15"/>
    <w:rsid w:val="002945C3"/>
    <w:rsid w:val="00296919"/>
    <w:rsid w:val="00296C9A"/>
    <w:rsid w:val="00297924"/>
    <w:rsid w:val="002A3F80"/>
    <w:rsid w:val="002A727E"/>
    <w:rsid w:val="002B5DFE"/>
    <w:rsid w:val="003053CA"/>
    <w:rsid w:val="0030633F"/>
    <w:rsid w:val="003119A6"/>
    <w:rsid w:val="00312A25"/>
    <w:rsid w:val="003208CD"/>
    <w:rsid w:val="0032355A"/>
    <w:rsid w:val="00325B67"/>
    <w:rsid w:val="00343E4F"/>
    <w:rsid w:val="00347B54"/>
    <w:rsid w:val="00353C1E"/>
    <w:rsid w:val="00363FB4"/>
    <w:rsid w:val="003970E8"/>
    <w:rsid w:val="00397870"/>
    <w:rsid w:val="003A1670"/>
    <w:rsid w:val="003A5398"/>
    <w:rsid w:val="003B2581"/>
    <w:rsid w:val="003B262C"/>
    <w:rsid w:val="003D2F08"/>
    <w:rsid w:val="003F45B4"/>
    <w:rsid w:val="004033D5"/>
    <w:rsid w:val="00404608"/>
    <w:rsid w:val="004212AE"/>
    <w:rsid w:val="00433668"/>
    <w:rsid w:val="0043483C"/>
    <w:rsid w:val="004428D1"/>
    <w:rsid w:val="00444EFE"/>
    <w:rsid w:val="00453F4A"/>
    <w:rsid w:val="004554E6"/>
    <w:rsid w:val="00465681"/>
    <w:rsid w:val="00491FE7"/>
    <w:rsid w:val="004A3C10"/>
    <w:rsid w:val="004A3DE6"/>
    <w:rsid w:val="004B665C"/>
    <w:rsid w:val="004C65EC"/>
    <w:rsid w:val="004D3710"/>
    <w:rsid w:val="004E0539"/>
    <w:rsid w:val="004E22AF"/>
    <w:rsid w:val="005258C0"/>
    <w:rsid w:val="00527918"/>
    <w:rsid w:val="00540051"/>
    <w:rsid w:val="00541BE5"/>
    <w:rsid w:val="0056127D"/>
    <w:rsid w:val="00580234"/>
    <w:rsid w:val="005834B0"/>
    <w:rsid w:val="00591443"/>
    <w:rsid w:val="005A12C7"/>
    <w:rsid w:val="005B2BEE"/>
    <w:rsid w:val="005B323C"/>
    <w:rsid w:val="005B6909"/>
    <w:rsid w:val="005D00C5"/>
    <w:rsid w:val="005E415B"/>
    <w:rsid w:val="005E68CB"/>
    <w:rsid w:val="005F1B41"/>
    <w:rsid w:val="005F3B28"/>
    <w:rsid w:val="005F6BED"/>
    <w:rsid w:val="005F723C"/>
    <w:rsid w:val="0063073F"/>
    <w:rsid w:val="00633FBB"/>
    <w:rsid w:val="00637E9A"/>
    <w:rsid w:val="00641D4E"/>
    <w:rsid w:val="00677CC6"/>
    <w:rsid w:val="00691B75"/>
    <w:rsid w:val="00693700"/>
    <w:rsid w:val="00695AE9"/>
    <w:rsid w:val="006974C0"/>
    <w:rsid w:val="006A12FA"/>
    <w:rsid w:val="006D4F06"/>
    <w:rsid w:val="006D5388"/>
    <w:rsid w:val="006D5EAD"/>
    <w:rsid w:val="006E4841"/>
    <w:rsid w:val="006E52F9"/>
    <w:rsid w:val="0070419B"/>
    <w:rsid w:val="0073060A"/>
    <w:rsid w:val="007376C0"/>
    <w:rsid w:val="00751458"/>
    <w:rsid w:val="00755C90"/>
    <w:rsid w:val="00763D80"/>
    <w:rsid w:val="00772E7F"/>
    <w:rsid w:val="00774D3B"/>
    <w:rsid w:val="007832DD"/>
    <w:rsid w:val="00783DE1"/>
    <w:rsid w:val="00784B17"/>
    <w:rsid w:val="00794563"/>
    <w:rsid w:val="00795EA0"/>
    <w:rsid w:val="007B5500"/>
    <w:rsid w:val="007C15C6"/>
    <w:rsid w:val="007C232B"/>
    <w:rsid w:val="007C2472"/>
    <w:rsid w:val="007C28DC"/>
    <w:rsid w:val="007E1E23"/>
    <w:rsid w:val="0080093A"/>
    <w:rsid w:val="00804DDB"/>
    <w:rsid w:val="008050A0"/>
    <w:rsid w:val="00810ECD"/>
    <w:rsid w:val="00814E4F"/>
    <w:rsid w:val="00837EB4"/>
    <w:rsid w:val="00840BB1"/>
    <w:rsid w:val="00842F3E"/>
    <w:rsid w:val="00852532"/>
    <w:rsid w:val="00856F57"/>
    <w:rsid w:val="00866634"/>
    <w:rsid w:val="008853A1"/>
    <w:rsid w:val="008854CD"/>
    <w:rsid w:val="0089592E"/>
    <w:rsid w:val="008C2EB0"/>
    <w:rsid w:val="008C32FD"/>
    <w:rsid w:val="008D3D67"/>
    <w:rsid w:val="008E0C57"/>
    <w:rsid w:val="008F79E3"/>
    <w:rsid w:val="00900C7D"/>
    <w:rsid w:val="00905D68"/>
    <w:rsid w:val="00921C21"/>
    <w:rsid w:val="009220A6"/>
    <w:rsid w:val="0093178C"/>
    <w:rsid w:val="00975D99"/>
    <w:rsid w:val="0098214B"/>
    <w:rsid w:val="009A20A9"/>
    <w:rsid w:val="009B6819"/>
    <w:rsid w:val="009C3F5D"/>
    <w:rsid w:val="009C75AC"/>
    <w:rsid w:val="009D6B52"/>
    <w:rsid w:val="009D74A5"/>
    <w:rsid w:val="009F33E2"/>
    <w:rsid w:val="00A065F4"/>
    <w:rsid w:val="00A1771A"/>
    <w:rsid w:val="00A2199F"/>
    <w:rsid w:val="00A22040"/>
    <w:rsid w:val="00A56331"/>
    <w:rsid w:val="00A61CBF"/>
    <w:rsid w:val="00A65869"/>
    <w:rsid w:val="00AB3560"/>
    <w:rsid w:val="00AB71F6"/>
    <w:rsid w:val="00AC2EA9"/>
    <w:rsid w:val="00AD1C46"/>
    <w:rsid w:val="00AD1EE0"/>
    <w:rsid w:val="00AD524B"/>
    <w:rsid w:val="00AE2155"/>
    <w:rsid w:val="00B021DF"/>
    <w:rsid w:val="00B14D68"/>
    <w:rsid w:val="00B3119D"/>
    <w:rsid w:val="00B37282"/>
    <w:rsid w:val="00B52E3C"/>
    <w:rsid w:val="00B57171"/>
    <w:rsid w:val="00B63432"/>
    <w:rsid w:val="00B66D56"/>
    <w:rsid w:val="00B72204"/>
    <w:rsid w:val="00B81748"/>
    <w:rsid w:val="00B93FCC"/>
    <w:rsid w:val="00BC5ABE"/>
    <w:rsid w:val="00BE1D83"/>
    <w:rsid w:val="00BE40FC"/>
    <w:rsid w:val="00BF3C19"/>
    <w:rsid w:val="00BF4A03"/>
    <w:rsid w:val="00C03F8F"/>
    <w:rsid w:val="00C06499"/>
    <w:rsid w:val="00C12F15"/>
    <w:rsid w:val="00C16BE5"/>
    <w:rsid w:val="00C2460D"/>
    <w:rsid w:val="00C24B76"/>
    <w:rsid w:val="00C44600"/>
    <w:rsid w:val="00C77C76"/>
    <w:rsid w:val="00C82AA6"/>
    <w:rsid w:val="00C84376"/>
    <w:rsid w:val="00C8577A"/>
    <w:rsid w:val="00C92EF4"/>
    <w:rsid w:val="00C943E8"/>
    <w:rsid w:val="00C96CD6"/>
    <w:rsid w:val="00CA3580"/>
    <w:rsid w:val="00CE1F98"/>
    <w:rsid w:val="00D010DD"/>
    <w:rsid w:val="00D03AE0"/>
    <w:rsid w:val="00D051B4"/>
    <w:rsid w:val="00D14E2C"/>
    <w:rsid w:val="00D21C31"/>
    <w:rsid w:val="00D2338D"/>
    <w:rsid w:val="00D366C2"/>
    <w:rsid w:val="00D3715E"/>
    <w:rsid w:val="00D41B67"/>
    <w:rsid w:val="00D51AC6"/>
    <w:rsid w:val="00D60518"/>
    <w:rsid w:val="00D722DE"/>
    <w:rsid w:val="00D73B54"/>
    <w:rsid w:val="00D81BF2"/>
    <w:rsid w:val="00D866B0"/>
    <w:rsid w:val="00D86F4A"/>
    <w:rsid w:val="00DA0E70"/>
    <w:rsid w:val="00DA29B8"/>
    <w:rsid w:val="00DA3B65"/>
    <w:rsid w:val="00DB3843"/>
    <w:rsid w:val="00DE3F6E"/>
    <w:rsid w:val="00DF043C"/>
    <w:rsid w:val="00DF0D9B"/>
    <w:rsid w:val="00E00BF9"/>
    <w:rsid w:val="00E03005"/>
    <w:rsid w:val="00E212F1"/>
    <w:rsid w:val="00E2521A"/>
    <w:rsid w:val="00E312B1"/>
    <w:rsid w:val="00E318BD"/>
    <w:rsid w:val="00E34D9F"/>
    <w:rsid w:val="00E3658B"/>
    <w:rsid w:val="00E45D49"/>
    <w:rsid w:val="00E47048"/>
    <w:rsid w:val="00E64134"/>
    <w:rsid w:val="00E71995"/>
    <w:rsid w:val="00E74752"/>
    <w:rsid w:val="00E92866"/>
    <w:rsid w:val="00EA5D99"/>
    <w:rsid w:val="00EA6950"/>
    <w:rsid w:val="00EB498B"/>
    <w:rsid w:val="00ED2208"/>
    <w:rsid w:val="00EE206E"/>
    <w:rsid w:val="00EE51DC"/>
    <w:rsid w:val="00F065E9"/>
    <w:rsid w:val="00F10279"/>
    <w:rsid w:val="00F3350E"/>
    <w:rsid w:val="00F37849"/>
    <w:rsid w:val="00F4300C"/>
    <w:rsid w:val="00F521BD"/>
    <w:rsid w:val="00F5631E"/>
    <w:rsid w:val="00F641BA"/>
    <w:rsid w:val="00F80819"/>
    <w:rsid w:val="00F811A0"/>
    <w:rsid w:val="00F82616"/>
    <w:rsid w:val="00F86094"/>
    <w:rsid w:val="00F91A77"/>
    <w:rsid w:val="00FB5C75"/>
    <w:rsid w:val="00FC26E8"/>
    <w:rsid w:val="00FC5CE0"/>
    <w:rsid w:val="00FD14D3"/>
    <w:rsid w:val="00FD21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295D6A"/>
  <w14:defaultImageDpi w14:val="0"/>
  <w15:docId w15:val="{FBDC4D3D-A997-407E-A4C2-E3A775AB7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GB"/>
    </w:rPr>
  </w:style>
  <w:style w:type="paragraph" w:styleId="Heading1">
    <w:name w:val="heading 1"/>
    <w:basedOn w:val="Normal"/>
    <w:link w:val="Heading1Char"/>
    <w:uiPriority w:val="99"/>
    <w:qFormat/>
    <w:rsid w:val="00291A15"/>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lang w:eastAsia="en-GB"/>
    </w:rPr>
  </w:style>
  <w:style w:type="paragraph" w:customStyle="1" w:styleId="Pa0">
    <w:name w:val="Pa0"/>
    <w:basedOn w:val="Default"/>
    <w:next w:val="Default"/>
    <w:uiPriority w:val="99"/>
    <w:pPr>
      <w:spacing w:line="241" w:lineRule="atLeast"/>
    </w:pPr>
    <w:rPr>
      <w:color w:val="auto"/>
    </w:rPr>
  </w:style>
  <w:style w:type="character" w:customStyle="1" w:styleId="A0">
    <w:name w:val="A0"/>
    <w:uiPriority w:val="99"/>
    <w:rPr>
      <w:color w:val="000000"/>
      <w:sz w:val="18"/>
      <w:szCs w:val="18"/>
    </w:rPr>
  </w:style>
  <w:style w:type="paragraph" w:customStyle="1" w:styleId="Pa1">
    <w:name w:val="Pa1"/>
    <w:basedOn w:val="Default"/>
    <w:next w:val="Default"/>
    <w:uiPriority w:val="99"/>
    <w:pPr>
      <w:spacing w:line="241" w:lineRule="atLeast"/>
    </w:pPr>
    <w:rPr>
      <w:color w:val="auto"/>
    </w:rPr>
  </w:style>
  <w:style w:type="character" w:styleId="Hyperlink">
    <w:name w:val="Hyperlink"/>
    <w:uiPriority w:val="99"/>
    <w:rsid w:val="00AB71F6"/>
    <w:rPr>
      <w:rFonts w:cs="Times New Roman"/>
      <w:color w:val="0000FF"/>
      <w:u w:val="single"/>
    </w:rPr>
  </w:style>
  <w:style w:type="paragraph" w:styleId="NormalWeb">
    <w:name w:val="Normal (Web)"/>
    <w:basedOn w:val="Normal"/>
    <w:uiPriority w:val="99"/>
    <w:rsid w:val="00AB71F6"/>
    <w:pPr>
      <w:spacing w:before="100" w:beforeAutospacing="1" w:after="100" w:afterAutospacing="1" w:line="240" w:lineRule="auto"/>
    </w:pPr>
    <w:rPr>
      <w:rFonts w:ascii="Times New Roman" w:hAnsi="Times New Roman"/>
      <w:sz w:val="24"/>
      <w:szCs w:val="24"/>
    </w:rPr>
  </w:style>
  <w:style w:type="paragraph" w:styleId="NoSpacing">
    <w:name w:val="No Spacing"/>
    <w:uiPriority w:val="1"/>
    <w:qFormat/>
    <w:rsid w:val="00D010DD"/>
    <w:rPr>
      <w:sz w:val="22"/>
      <w:szCs w:val="22"/>
      <w:lang w:eastAsia="en-GB"/>
    </w:rPr>
  </w:style>
  <w:style w:type="paragraph" w:styleId="BalloonText">
    <w:name w:val="Balloon Text"/>
    <w:basedOn w:val="Normal"/>
    <w:link w:val="BalloonTextChar"/>
    <w:uiPriority w:val="99"/>
    <w:semiHidden/>
    <w:unhideWhenUsed/>
    <w:rsid w:val="00DA0E7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A0E70"/>
    <w:rPr>
      <w:rFonts w:ascii="Tahoma" w:hAnsi="Tahoma" w:cs="Tahoma"/>
      <w:sz w:val="16"/>
      <w:szCs w:val="16"/>
    </w:rPr>
  </w:style>
  <w:style w:type="paragraph" w:styleId="Header">
    <w:name w:val="header"/>
    <w:basedOn w:val="Normal"/>
    <w:link w:val="HeaderChar"/>
    <w:uiPriority w:val="99"/>
    <w:unhideWhenUsed/>
    <w:qFormat/>
    <w:rsid w:val="003208CD"/>
    <w:pPr>
      <w:tabs>
        <w:tab w:val="center" w:pos="4320"/>
        <w:tab w:val="right" w:pos="8640"/>
      </w:tabs>
    </w:pPr>
  </w:style>
  <w:style w:type="character" w:customStyle="1" w:styleId="HeaderChar">
    <w:name w:val="Header Char"/>
    <w:link w:val="Header"/>
    <w:uiPriority w:val="99"/>
    <w:rsid w:val="003208CD"/>
    <w:rPr>
      <w:sz w:val="22"/>
      <w:szCs w:val="22"/>
      <w:lang w:eastAsia="en-GB"/>
    </w:rPr>
  </w:style>
  <w:style w:type="paragraph" w:styleId="Footer">
    <w:name w:val="footer"/>
    <w:basedOn w:val="Normal"/>
    <w:link w:val="FooterChar"/>
    <w:uiPriority w:val="99"/>
    <w:unhideWhenUsed/>
    <w:rsid w:val="003208CD"/>
    <w:pPr>
      <w:tabs>
        <w:tab w:val="center" w:pos="4320"/>
        <w:tab w:val="right" w:pos="8640"/>
      </w:tabs>
    </w:pPr>
  </w:style>
  <w:style w:type="character" w:customStyle="1" w:styleId="FooterChar">
    <w:name w:val="Footer Char"/>
    <w:link w:val="Footer"/>
    <w:uiPriority w:val="99"/>
    <w:rsid w:val="003208CD"/>
    <w:rPr>
      <w:sz w:val="22"/>
      <w:szCs w:val="22"/>
      <w:lang w:eastAsia="en-GB"/>
    </w:rPr>
  </w:style>
  <w:style w:type="paragraph" w:customStyle="1" w:styleId="BasicParagraph">
    <w:name w:val="[Basic Paragraph]"/>
    <w:basedOn w:val="Normal"/>
    <w:uiPriority w:val="99"/>
    <w:rsid w:val="003208CD"/>
    <w:pPr>
      <w:widowControl w:val="0"/>
      <w:suppressAutoHyphens/>
      <w:autoSpaceDE w:val="0"/>
      <w:autoSpaceDN w:val="0"/>
      <w:adjustRightInd w:val="0"/>
      <w:spacing w:after="0" w:line="288" w:lineRule="auto"/>
      <w:textAlignment w:val="center"/>
    </w:pPr>
    <w:rPr>
      <w:rFonts w:ascii="MinionPro-Regular" w:hAnsi="MinionPro-Regular" w:cs="MinionPro-Regular"/>
      <w:color w:val="000000"/>
      <w:sz w:val="24"/>
      <w:szCs w:val="24"/>
      <w:lang w:eastAsia="en-US"/>
    </w:rPr>
  </w:style>
  <w:style w:type="character" w:styleId="PageNumber">
    <w:name w:val="page number"/>
    <w:uiPriority w:val="99"/>
    <w:semiHidden/>
    <w:unhideWhenUsed/>
    <w:rsid w:val="003208CD"/>
  </w:style>
  <w:style w:type="character" w:customStyle="1" w:styleId="Heading1Char">
    <w:name w:val="Heading 1 Char"/>
    <w:basedOn w:val="DefaultParagraphFont"/>
    <w:link w:val="Heading1"/>
    <w:uiPriority w:val="99"/>
    <w:rsid w:val="00291A15"/>
    <w:rPr>
      <w:rFonts w:ascii="Times New Roman" w:hAnsi="Times New Roman"/>
      <w:b/>
      <w:bCs/>
      <w:kern w:val="36"/>
      <w:sz w:val="48"/>
      <w:szCs w:val="48"/>
      <w:lang w:eastAsia="en-GB"/>
    </w:rPr>
  </w:style>
  <w:style w:type="character" w:styleId="Strong">
    <w:name w:val="Strong"/>
    <w:basedOn w:val="DefaultParagraphFont"/>
    <w:qFormat/>
    <w:rsid w:val="00291A15"/>
    <w:rPr>
      <w:b/>
      <w:bCs/>
    </w:rPr>
  </w:style>
  <w:style w:type="paragraph" w:styleId="BodyText">
    <w:name w:val="Body Text"/>
    <w:basedOn w:val="Normal"/>
    <w:link w:val="BodyTextChar"/>
    <w:rsid w:val="00291A15"/>
    <w:pPr>
      <w:spacing w:after="0" w:line="240" w:lineRule="auto"/>
      <w:jc w:val="both"/>
    </w:pPr>
    <w:rPr>
      <w:rFonts w:ascii="Times New Roman" w:hAnsi="Times New Roman"/>
      <w:sz w:val="24"/>
      <w:szCs w:val="20"/>
      <w:lang w:eastAsia="en-US"/>
    </w:rPr>
  </w:style>
  <w:style w:type="character" w:customStyle="1" w:styleId="BodyTextChar">
    <w:name w:val="Body Text Char"/>
    <w:basedOn w:val="DefaultParagraphFont"/>
    <w:link w:val="BodyText"/>
    <w:rsid w:val="00291A15"/>
    <w:rPr>
      <w:rFonts w:ascii="Times New Roman" w:hAnsi="Times New Roman"/>
      <w:sz w:val="24"/>
    </w:rPr>
  </w:style>
  <w:style w:type="paragraph" w:styleId="BodyText2">
    <w:name w:val="Body Text 2"/>
    <w:basedOn w:val="Normal"/>
    <w:link w:val="BodyText2Char"/>
    <w:rsid w:val="00291A15"/>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rsid w:val="00291A15"/>
    <w:rPr>
      <w:rFonts w:ascii="Times New Roman" w:hAnsi="Times New Roman"/>
      <w:sz w:val="24"/>
      <w:szCs w:val="24"/>
      <w:lang w:eastAsia="en-GB"/>
    </w:rPr>
  </w:style>
  <w:style w:type="paragraph" w:styleId="ListParagraph">
    <w:name w:val="List Paragraph"/>
    <w:basedOn w:val="Normal"/>
    <w:uiPriority w:val="34"/>
    <w:qFormat/>
    <w:rsid w:val="00291A15"/>
    <w:pPr>
      <w:spacing w:after="0" w:line="240" w:lineRule="auto"/>
      <w:ind w:left="720"/>
      <w:contextualSpacing/>
    </w:pPr>
    <w:rPr>
      <w:rFonts w:ascii="Times New Roman" w:hAnsi="Times New Roman"/>
      <w:sz w:val="24"/>
      <w:szCs w:val="24"/>
    </w:rPr>
  </w:style>
  <w:style w:type="character" w:styleId="SubtleReference">
    <w:name w:val="Subtle Reference"/>
    <w:basedOn w:val="DefaultParagraphFont"/>
    <w:uiPriority w:val="31"/>
    <w:qFormat/>
    <w:rsid w:val="00291A15"/>
    <w:rPr>
      <w:smallCaps/>
      <w:color w:val="C0504D" w:themeColor="accent2"/>
      <w:u w:val="single"/>
    </w:rPr>
  </w:style>
  <w:style w:type="paragraph" w:styleId="FootnoteText">
    <w:name w:val="footnote text"/>
    <w:basedOn w:val="Normal"/>
    <w:link w:val="FootnoteTextChar"/>
    <w:uiPriority w:val="99"/>
    <w:semiHidden/>
    <w:unhideWhenUsed/>
    <w:rsid w:val="002A727E"/>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2A727E"/>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2A727E"/>
    <w:rPr>
      <w:vertAlign w:val="superscript"/>
    </w:rPr>
  </w:style>
  <w:style w:type="table" w:styleId="TableGrid">
    <w:name w:val="Table Grid"/>
    <w:basedOn w:val="TableNormal"/>
    <w:uiPriority w:val="59"/>
    <w:rsid w:val="00D371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33668"/>
    <w:rPr>
      <w:sz w:val="16"/>
      <w:szCs w:val="16"/>
    </w:rPr>
  </w:style>
  <w:style w:type="paragraph" w:styleId="CommentText">
    <w:name w:val="annotation text"/>
    <w:basedOn w:val="Normal"/>
    <w:link w:val="CommentTextChar"/>
    <w:uiPriority w:val="99"/>
    <w:unhideWhenUsed/>
    <w:rsid w:val="00433668"/>
    <w:pPr>
      <w:spacing w:line="240" w:lineRule="auto"/>
    </w:pPr>
    <w:rPr>
      <w:sz w:val="20"/>
      <w:szCs w:val="20"/>
    </w:rPr>
  </w:style>
  <w:style w:type="character" w:customStyle="1" w:styleId="CommentTextChar">
    <w:name w:val="Comment Text Char"/>
    <w:basedOn w:val="DefaultParagraphFont"/>
    <w:link w:val="CommentText"/>
    <w:uiPriority w:val="99"/>
    <w:rsid w:val="00433668"/>
    <w:rPr>
      <w:lang w:eastAsia="en-GB"/>
    </w:rPr>
  </w:style>
  <w:style w:type="paragraph" w:styleId="CommentSubject">
    <w:name w:val="annotation subject"/>
    <w:basedOn w:val="CommentText"/>
    <w:next w:val="CommentText"/>
    <w:link w:val="CommentSubjectChar"/>
    <w:uiPriority w:val="99"/>
    <w:semiHidden/>
    <w:unhideWhenUsed/>
    <w:rsid w:val="00433668"/>
    <w:rPr>
      <w:b/>
      <w:bCs/>
    </w:rPr>
  </w:style>
  <w:style w:type="character" w:customStyle="1" w:styleId="CommentSubjectChar">
    <w:name w:val="Comment Subject Char"/>
    <w:basedOn w:val="CommentTextChar"/>
    <w:link w:val="CommentSubject"/>
    <w:uiPriority w:val="99"/>
    <w:semiHidden/>
    <w:rsid w:val="00433668"/>
    <w:rPr>
      <w:b/>
      <w:bCs/>
      <w:lang w:eastAsia="en-GB"/>
    </w:rPr>
  </w:style>
  <w:style w:type="character" w:styleId="FollowedHyperlink">
    <w:name w:val="FollowedHyperlink"/>
    <w:basedOn w:val="DefaultParagraphFont"/>
    <w:uiPriority w:val="99"/>
    <w:semiHidden/>
    <w:unhideWhenUsed/>
    <w:rsid w:val="006D5EAD"/>
    <w:rPr>
      <w:color w:val="800080" w:themeColor="followedHyperlink"/>
      <w:u w:val="single"/>
    </w:rPr>
  </w:style>
  <w:style w:type="character" w:styleId="UnresolvedMention">
    <w:name w:val="Unresolved Mention"/>
    <w:basedOn w:val="DefaultParagraphFont"/>
    <w:uiPriority w:val="99"/>
    <w:semiHidden/>
    <w:unhideWhenUsed/>
    <w:rsid w:val="006D4F06"/>
    <w:rPr>
      <w:color w:val="605E5C"/>
      <w:shd w:val="clear" w:color="auto" w:fill="E1DFDD"/>
    </w:rPr>
  </w:style>
  <w:style w:type="character" w:customStyle="1" w:styleId="cf01">
    <w:name w:val="cf01"/>
    <w:basedOn w:val="DefaultParagraphFont"/>
    <w:rsid w:val="00197B1B"/>
    <w:rPr>
      <w:rFonts w:ascii="Segoe UI" w:hAnsi="Segoe UI" w:cs="Segoe UI" w:hint="default"/>
      <w:sz w:val="18"/>
      <w:szCs w:val="18"/>
    </w:rPr>
  </w:style>
  <w:style w:type="character" w:customStyle="1" w:styleId="Mention1">
    <w:name w:val="Mention1"/>
    <w:basedOn w:val="DefaultParagraphFont"/>
    <w:uiPriority w:val="99"/>
    <w:unhideWhenUsed/>
    <w:rsid w:val="00197B1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485940">
      <w:bodyDiv w:val="1"/>
      <w:marLeft w:val="0"/>
      <w:marRight w:val="0"/>
      <w:marTop w:val="0"/>
      <w:marBottom w:val="0"/>
      <w:divBdr>
        <w:top w:val="none" w:sz="0" w:space="0" w:color="auto"/>
        <w:left w:val="none" w:sz="0" w:space="0" w:color="auto"/>
        <w:bottom w:val="none" w:sz="0" w:space="0" w:color="auto"/>
        <w:right w:val="none" w:sz="0" w:space="0" w:color="auto"/>
      </w:divBdr>
    </w:div>
    <w:div w:id="411777047">
      <w:bodyDiv w:val="1"/>
      <w:marLeft w:val="0"/>
      <w:marRight w:val="0"/>
      <w:marTop w:val="0"/>
      <w:marBottom w:val="0"/>
      <w:divBdr>
        <w:top w:val="none" w:sz="0" w:space="0" w:color="auto"/>
        <w:left w:val="none" w:sz="0" w:space="0" w:color="auto"/>
        <w:bottom w:val="none" w:sz="0" w:space="0" w:color="auto"/>
        <w:right w:val="none" w:sz="0" w:space="0" w:color="auto"/>
      </w:divBdr>
    </w:div>
    <w:div w:id="689063469">
      <w:bodyDiv w:val="1"/>
      <w:marLeft w:val="0"/>
      <w:marRight w:val="0"/>
      <w:marTop w:val="0"/>
      <w:marBottom w:val="0"/>
      <w:divBdr>
        <w:top w:val="none" w:sz="0" w:space="0" w:color="auto"/>
        <w:left w:val="none" w:sz="0" w:space="0" w:color="auto"/>
        <w:bottom w:val="none" w:sz="0" w:space="0" w:color="auto"/>
        <w:right w:val="none" w:sz="0" w:space="0" w:color="auto"/>
      </w:divBdr>
    </w:div>
    <w:div w:id="730273602">
      <w:bodyDiv w:val="1"/>
      <w:marLeft w:val="0"/>
      <w:marRight w:val="0"/>
      <w:marTop w:val="0"/>
      <w:marBottom w:val="0"/>
      <w:divBdr>
        <w:top w:val="none" w:sz="0" w:space="0" w:color="auto"/>
        <w:left w:val="none" w:sz="0" w:space="0" w:color="auto"/>
        <w:bottom w:val="none" w:sz="0" w:space="0" w:color="auto"/>
        <w:right w:val="none" w:sz="0" w:space="0" w:color="auto"/>
      </w:divBdr>
    </w:div>
    <w:div w:id="850292413">
      <w:bodyDiv w:val="1"/>
      <w:marLeft w:val="0"/>
      <w:marRight w:val="0"/>
      <w:marTop w:val="0"/>
      <w:marBottom w:val="0"/>
      <w:divBdr>
        <w:top w:val="none" w:sz="0" w:space="0" w:color="auto"/>
        <w:left w:val="none" w:sz="0" w:space="0" w:color="auto"/>
        <w:bottom w:val="none" w:sz="0" w:space="0" w:color="auto"/>
        <w:right w:val="none" w:sz="0" w:space="0" w:color="auto"/>
      </w:divBdr>
    </w:div>
    <w:div w:id="893660666">
      <w:bodyDiv w:val="1"/>
      <w:marLeft w:val="0"/>
      <w:marRight w:val="0"/>
      <w:marTop w:val="0"/>
      <w:marBottom w:val="0"/>
      <w:divBdr>
        <w:top w:val="none" w:sz="0" w:space="0" w:color="auto"/>
        <w:left w:val="none" w:sz="0" w:space="0" w:color="auto"/>
        <w:bottom w:val="none" w:sz="0" w:space="0" w:color="auto"/>
        <w:right w:val="none" w:sz="0" w:space="0" w:color="auto"/>
      </w:divBdr>
    </w:div>
    <w:div w:id="939027007">
      <w:bodyDiv w:val="1"/>
      <w:marLeft w:val="0"/>
      <w:marRight w:val="0"/>
      <w:marTop w:val="0"/>
      <w:marBottom w:val="0"/>
      <w:divBdr>
        <w:top w:val="none" w:sz="0" w:space="0" w:color="auto"/>
        <w:left w:val="none" w:sz="0" w:space="0" w:color="auto"/>
        <w:bottom w:val="none" w:sz="0" w:space="0" w:color="auto"/>
        <w:right w:val="none" w:sz="0" w:space="0" w:color="auto"/>
      </w:divBdr>
    </w:div>
    <w:div w:id="1234393328">
      <w:bodyDiv w:val="1"/>
      <w:marLeft w:val="0"/>
      <w:marRight w:val="0"/>
      <w:marTop w:val="0"/>
      <w:marBottom w:val="0"/>
      <w:divBdr>
        <w:top w:val="none" w:sz="0" w:space="0" w:color="auto"/>
        <w:left w:val="none" w:sz="0" w:space="0" w:color="auto"/>
        <w:bottom w:val="none" w:sz="0" w:space="0" w:color="auto"/>
        <w:right w:val="none" w:sz="0" w:space="0" w:color="auto"/>
      </w:divBdr>
    </w:div>
    <w:div w:id="1242328651">
      <w:bodyDiv w:val="1"/>
      <w:marLeft w:val="0"/>
      <w:marRight w:val="0"/>
      <w:marTop w:val="0"/>
      <w:marBottom w:val="0"/>
      <w:divBdr>
        <w:top w:val="none" w:sz="0" w:space="0" w:color="auto"/>
        <w:left w:val="none" w:sz="0" w:space="0" w:color="auto"/>
        <w:bottom w:val="none" w:sz="0" w:space="0" w:color="auto"/>
        <w:right w:val="none" w:sz="0" w:space="0" w:color="auto"/>
      </w:divBdr>
    </w:div>
    <w:div w:id="1473251560">
      <w:bodyDiv w:val="1"/>
      <w:marLeft w:val="0"/>
      <w:marRight w:val="0"/>
      <w:marTop w:val="0"/>
      <w:marBottom w:val="0"/>
      <w:divBdr>
        <w:top w:val="none" w:sz="0" w:space="0" w:color="auto"/>
        <w:left w:val="none" w:sz="0" w:space="0" w:color="auto"/>
        <w:bottom w:val="none" w:sz="0" w:space="0" w:color="auto"/>
        <w:right w:val="none" w:sz="0" w:space="0" w:color="auto"/>
      </w:divBdr>
    </w:div>
    <w:div w:id="19339324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Policy@cap.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worth@drinkaware.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sa.org.uk/uploads/assets/91a3046e-c97a-42d3-886d547cbfbe9732/Low-Alcohol-Rule-consultation-document.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s://gbr01.safelinks.protection.outlook.com/?url=https%3A%2F%2Fwww.gov.uk%2Fgovernment%2Fpublications%2Falcohol-use-screening-tests&amp;data=04%7C01%7Cmchandler%40drinkaware.co.uk%7Cb2ae8bd4e27e4af6655b08d8f4eff14b%7C1b2d730df1264de5b7966d28cfded2be%7C0%7C0%7C637528658774824071%7CUnknown%7CTWFpbGZsb3d8eyJWIjoiMC4wLjAwMDAiLCJQIjoiV2luMzIiLCJBTiI6Ik1haWwiLCJXVCI6Mn0%3D%7C1000&amp;sdata=g%2FpUaT3NkVcQphSNOFnBuB5mPWBgghJrDUatLEAV0%2FM%3D&amp;reserved=0" TargetMode="External"/><Relationship Id="rId2" Type="http://schemas.openxmlformats.org/officeDocument/2006/relationships/hyperlink" Target="https://gbr01.safelinks.protection.outlook.com/?url=https%3A%2F%2Fwww.drinkaware.co.uk%2Fresearch%2Fdrinkaware-monitors%2Fdrinkaware-monitor-2020-drinking-and-the-coronavirus-pandemic&amp;data=04%7C01%7Cmchandler%40drinkaware.co.uk%7Cb2ae8bd4e27e4af6655b08d8f4eff14b%7C1b2d730df1264de5b7966d28cfded2be%7C0%7C0%7C637528658774824071%7CUnknown%7CTWFpbGZsb3d8eyJWIjoiMC4wLjAwMDAiLCJQIjoiV2luMzIiLCJBTiI6Ik1haWwiLCJXVCI6Mn0%3D%7C1000&amp;sdata=e72mmSxSdvN7wEiFrarjx0NN3ZcJDtdOlndihTqb2YY%3D&amp;reserved=0" TargetMode="External"/><Relationship Id="rId1" Type="http://schemas.openxmlformats.org/officeDocument/2006/relationships/hyperlink" Target="https://www.drinkaware.co.uk/research/drinkaware-monitors" TargetMode="External"/><Relationship Id="rId5" Type="http://schemas.openxmlformats.org/officeDocument/2006/relationships/hyperlink" Target="https://gbr01.safelinks.protection.outlook.com/?url=https%3A%2F%2Fwww.gov.uk%2Fgovernment%2Fpublications%2Falcohol-use-screening-tests&amp;data=04%7C01%7Cmchandler%40drinkaware.co.uk%7Cb2ae8bd4e27e4af6655b08d8f4eff14b%7C1b2d730df1264de5b7966d28cfded2be%7C0%7C0%7C637528658774824071%7CUnknown%7CTWFpbGZsb3d8eyJWIjoiMC4wLjAwMDAiLCJQIjoiV2luMzIiLCJBTiI6Ik1haWwiLCJXVCI6Mn0%3D%7C1000&amp;sdata=g%2FpUaT3NkVcQphSNOFnBuB5mPWBgghJrDUatLEAV0%2FM%3D&amp;reserved=0" TargetMode="External"/><Relationship Id="rId4" Type="http://schemas.openxmlformats.org/officeDocument/2006/relationships/hyperlink" Target="https://gbr01.safelinks.protection.outlook.com/?url=https%3A%2F%2Fwww.gov.uk%2Fgovernment%2Fpublications%2Falcohol-use-screening-tests&amp;data=04%7C01%7Cmchandler%40drinkaware.co.uk%7Cb2ae8bd4e27e4af6655b08d8f4eff14b%7C1b2d730df1264de5b7966d28cfded2be%7C0%7C0%7C637528658774824071%7CUnknown%7CTWFpbGZsb3d8eyJWIjoiMC4wLjAwMDAiLCJQIjoiV2luMzIiLCJBTiI6Ik1haWwiLCJXVCI6Mn0%3D%7C1000&amp;sdata=g%2FpUaT3NkVcQphSNOFnBuB5mPWBgghJrDUatLEAV0%2FM%3D&amp;reserve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oconnor\AppData\Local\Microsoft\Windows\Temporary%20Internet%20Files\Content.Outlook\XY4BP7XT\DRI28111%20Drinkaware_Word%20Doc%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D9EF608ED9B44A8D1DA5637BDFF7A1" ma:contentTypeVersion="9" ma:contentTypeDescription="Create a new document." ma:contentTypeScope="" ma:versionID="5d40e96f62587902c8a01548a5ae70d6">
  <xsd:schema xmlns:xsd="http://www.w3.org/2001/XMLSchema" xmlns:xs="http://www.w3.org/2001/XMLSchema" xmlns:p="http://schemas.microsoft.com/office/2006/metadata/properties" xmlns:ns2="b1ec6145-33d9-4227-8426-cfc38d332922" xmlns:ns3="5635bab9-2a56-4697-a843-28321cb54de1" targetNamespace="http://schemas.microsoft.com/office/2006/metadata/properties" ma:root="true" ma:fieldsID="631f8e1368949406e3c40a97a81f40a9" ns2:_="" ns3:_="">
    <xsd:import namespace="b1ec6145-33d9-4227-8426-cfc38d332922"/>
    <xsd:import namespace="5635bab9-2a56-4697-a843-28321cb54de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ec6145-33d9-4227-8426-cfc38d33292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35bab9-2a56-4697-a843-28321cb54de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5635bab9-2a56-4697-a843-28321cb54de1" xsi:nil="true"/>
  </documentManagement>
</p:properties>
</file>

<file path=customXml/itemProps1.xml><?xml version="1.0" encoding="utf-8"?>
<ds:datastoreItem xmlns:ds="http://schemas.openxmlformats.org/officeDocument/2006/customXml" ds:itemID="{C8647D7F-5BF0-42EA-BD03-65E90C8FB251}">
  <ds:schemaRefs>
    <ds:schemaRef ds:uri="http://schemas.openxmlformats.org/officeDocument/2006/bibliography"/>
  </ds:schemaRefs>
</ds:datastoreItem>
</file>

<file path=customXml/itemProps2.xml><?xml version="1.0" encoding="utf-8"?>
<ds:datastoreItem xmlns:ds="http://schemas.openxmlformats.org/officeDocument/2006/customXml" ds:itemID="{21851436-2339-41A0-A0D2-5C4E5F95B4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ec6145-33d9-4227-8426-cfc38d332922"/>
    <ds:schemaRef ds:uri="5635bab9-2a56-4697-a843-28321cb54d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DCE29B-9755-4615-9557-3CE505D4E57A}">
  <ds:schemaRefs>
    <ds:schemaRef ds:uri="http://schemas.microsoft.com/sharepoint/v3/contenttype/forms"/>
  </ds:schemaRefs>
</ds:datastoreItem>
</file>

<file path=customXml/itemProps4.xml><?xml version="1.0" encoding="utf-8"?>
<ds:datastoreItem xmlns:ds="http://schemas.openxmlformats.org/officeDocument/2006/customXml" ds:itemID="{8747FCD3-C0A8-4B89-811E-9E94715D2C75}">
  <ds:schemaRefs>
    <ds:schemaRef ds:uri="http://schemas.microsoft.com/office/2006/metadata/properties"/>
    <ds:schemaRef ds:uri="http://schemas.microsoft.com/office/infopath/2007/PartnerControls"/>
    <ds:schemaRef ds:uri="5635bab9-2a56-4697-a843-28321cb54de1"/>
  </ds:schemaRefs>
</ds:datastoreItem>
</file>

<file path=docProps/app.xml><?xml version="1.0" encoding="utf-8"?>
<Properties xmlns="http://schemas.openxmlformats.org/officeDocument/2006/extended-properties" xmlns:vt="http://schemas.openxmlformats.org/officeDocument/2006/docPropsVTypes">
  <Template>DRI28111 Drinkaware_Word Doc v2.dotx</Template>
  <TotalTime>43</TotalTime>
  <Pages>1</Pages>
  <Words>863</Words>
  <Characters>4921</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Drinkaware</Company>
  <LinksUpToDate>false</LinksUpToDate>
  <CharactersWithSpaces>5773</CharactersWithSpaces>
  <SharedDoc>false</SharedDoc>
  <HLinks>
    <vt:vector size="48" baseType="variant">
      <vt:variant>
        <vt:i4>4456511</vt:i4>
      </vt:variant>
      <vt:variant>
        <vt:i4>6</vt:i4>
      </vt:variant>
      <vt:variant>
        <vt:i4>0</vt:i4>
      </vt:variant>
      <vt:variant>
        <vt:i4>5</vt:i4>
      </vt:variant>
      <vt:variant>
        <vt:lpwstr>mailto:AdPolicy@cap.org.uk</vt:lpwstr>
      </vt:variant>
      <vt:variant>
        <vt:lpwstr/>
      </vt:variant>
      <vt:variant>
        <vt:i4>655472</vt:i4>
      </vt:variant>
      <vt:variant>
        <vt:i4>3</vt:i4>
      </vt:variant>
      <vt:variant>
        <vt:i4>0</vt:i4>
      </vt:variant>
      <vt:variant>
        <vt:i4>5</vt:i4>
      </vt:variant>
      <vt:variant>
        <vt:lpwstr>mailto:lworth@drinkaware.co.uk</vt:lpwstr>
      </vt:variant>
      <vt:variant>
        <vt:lpwstr/>
      </vt:variant>
      <vt:variant>
        <vt:i4>5636110</vt:i4>
      </vt:variant>
      <vt:variant>
        <vt:i4>0</vt:i4>
      </vt:variant>
      <vt:variant>
        <vt:i4>0</vt:i4>
      </vt:variant>
      <vt:variant>
        <vt:i4>5</vt:i4>
      </vt:variant>
      <vt:variant>
        <vt:lpwstr>https://www.asa.org.uk/uploads/assets/91a3046e-c97a-42d3-886d547cbfbe9732/Low-Alcohol-Rule-consultation-document.pdf</vt:lpwstr>
      </vt:variant>
      <vt:variant>
        <vt:lpwstr/>
      </vt:variant>
      <vt:variant>
        <vt:i4>3801122</vt:i4>
      </vt:variant>
      <vt:variant>
        <vt:i4>12</vt:i4>
      </vt:variant>
      <vt:variant>
        <vt:i4>0</vt:i4>
      </vt:variant>
      <vt:variant>
        <vt:i4>5</vt:i4>
      </vt:variant>
      <vt:variant>
        <vt:lpwstr>https://gbr01.safelinks.protection.outlook.com/?url=https%3A%2F%2Fwww.gov.uk%2Fgovernment%2Fpublications%2Falcohol-use-screening-tests&amp;data=04%7C01%7Cmchandler%40drinkaware.co.uk%7Cb2ae8bd4e27e4af6655b08d8f4eff14b%7C1b2d730df1264de5b7966d28cfded2be%7C0%7C0%7C637528658774824071%7CUnknown%7CTWFpbGZsb3d8eyJWIjoiMC4wLjAwMDAiLCJQIjoiV2luMzIiLCJBTiI6Ik1haWwiLCJXVCI6Mn0%3D%7C1000&amp;sdata=g%2FpUaT3NkVcQphSNOFnBuB5mPWBgghJrDUatLEAV0%2FM%3D&amp;reserved=0</vt:lpwstr>
      </vt:variant>
      <vt:variant>
        <vt:lpwstr/>
      </vt:variant>
      <vt:variant>
        <vt:i4>3801122</vt:i4>
      </vt:variant>
      <vt:variant>
        <vt:i4>9</vt:i4>
      </vt:variant>
      <vt:variant>
        <vt:i4>0</vt:i4>
      </vt:variant>
      <vt:variant>
        <vt:i4>5</vt:i4>
      </vt:variant>
      <vt:variant>
        <vt:lpwstr>https://gbr01.safelinks.protection.outlook.com/?url=https%3A%2F%2Fwww.gov.uk%2Fgovernment%2Fpublications%2Falcohol-use-screening-tests&amp;data=04%7C01%7Cmchandler%40drinkaware.co.uk%7Cb2ae8bd4e27e4af6655b08d8f4eff14b%7C1b2d730df1264de5b7966d28cfded2be%7C0%7C0%7C637528658774824071%7CUnknown%7CTWFpbGZsb3d8eyJWIjoiMC4wLjAwMDAiLCJQIjoiV2luMzIiLCJBTiI6Ik1haWwiLCJXVCI6Mn0%3D%7C1000&amp;sdata=g%2FpUaT3NkVcQphSNOFnBuB5mPWBgghJrDUatLEAV0%2FM%3D&amp;reserved=0</vt:lpwstr>
      </vt:variant>
      <vt:variant>
        <vt:lpwstr/>
      </vt:variant>
      <vt:variant>
        <vt:i4>3801122</vt:i4>
      </vt:variant>
      <vt:variant>
        <vt:i4>6</vt:i4>
      </vt:variant>
      <vt:variant>
        <vt:i4>0</vt:i4>
      </vt:variant>
      <vt:variant>
        <vt:i4>5</vt:i4>
      </vt:variant>
      <vt:variant>
        <vt:lpwstr>https://gbr01.safelinks.protection.outlook.com/?url=https%3A%2F%2Fwww.gov.uk%2Fgovernment%2Fpublications%2Falcohol-use-screening-tests&amp;data=04%7C01%7Cmchandler%40drinkaware.co.uk%7Cb2ae8bd4e27e4af6655b08d8f4eff14b%7C1b2d730df1264de5b7966d28cfded2be%7C0%7C0%7C637528658774824071%7CUnknown%7CTWFpbGZsb3d8eyJWIjoiMC4wLjAwMDAiLCJQIjoiV2luMzIiLCJBTiI6Ik1haWwiLCJXVCI6Mn0%3D%7C1000&amp;sdata=g%2FpUaT3NkVcQphSNOFnBuB5mPWBgghJrDUatLEAV0%2FM%3D&amp;reserved=0</vt:lpwstr>
      </vt:variant>
      <vt:variant>
        <vt:lpwstr/>
      </vt:variant>
      <vt:variant>
        <vt:i4>2162789</vt:i4>
      </vt:variant>
      <vt:variant>
        <vt:i4>3</vt:i4>
      </vt:variant>
      <vt:variant>
        <vt:i4>0</vt:i4>
      </vt:variant>
      <vt:variant>
        <vt:i4>5</vt:i4>
      </vt:variant>
      <vt:variant>
        <vt:lpwstr>https://gbr01.safelinks.protection.outlook.com/?url=https%3A%2F%2Fwww.drinkaware.co.uk%2Fresearch%2Fdrinkaware-monitors%2Fdrinkaware-monitor-2020-drinking-and-the-coronavirus-pandemic&amp;data=04%7C01%7Cmchandler%40drinkaware.co.uk%7Cb2ae8bd4e27e4af6655b08d8f4eff14b%7C1b2d730df1264de5b7966d28cfded2be%7C0%7C0%7C637528658774824071%7CUnknown%7CTWFpbGZsb3d8eyJWIjoiMC4wLjAwMDAiLCJQIjoiV2luMzIiLCJBTiI6Ik1haWwiLCJXVCI6Mn0%3D%7C1000&amp;sdata=e72mmSxSdvN7wEiFrarjx0NN3ZcJDtdOlndihTqb2YY%3D&amp;reserved=0</vt:lpwstr>
      </vt:variant>
      <vt:variant>
        <vt:lpwstr/>
      </vt:variant>
      <vt:variant>
        <vt:i4>4653061</vt:i4>
      </vt:variant>
      <vt:variant>
        <vt:i4>0</vt:i4>
      </vt:variant>
      <vt:variant>
        <vt:i4>0</vt:i4>
      </vt:variant>
      <vt:variant>
        <vt:i4>5</vt:i4>
      </vt:variant>
      <vt:variant>
        <vt:lpwstr>https://www.drinkaware.co.uk/research/drinkaware-monitors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O'Connor</dc:creator>
  <cp:keywords/>
  <cp:lastModifiedBy>Lizzie Worth</cp:lastModifiedBy>
  <cp:revision>58</cp:revision>
  <cp:lastPrinted>2017-07-27T03:28:00Z</cp:lastPrinted>
  <dcterms:created xsi:type="dcterms:W3CDTF">2021-04-16T06:45:00Z</dcterms:created>
  <dcterms:modified xsi:type="dcterms:W3CDTF">2021-04-15T23:46:00Z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0x01010050D9EF608ED9B44A8D1DA5637BDFF7A1</vt:lpwstr>
  </property>
</Properties>
</file>